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D723D">
      <w:pPr>
        <w:divId w:val="61611380"/>
        <w:rPr>
          <w:rFonts w:eastAsia="Times New Roman"/>
          <w:vanish/>
        </w:rPr>
      </w:pPr>
      <w:r>
        <w:rPr>
          <w:rFonts w:eastAsia="Times New Roman"/>
          <w:vanish/>
        </w:rPr>
        <w:t>April 30, 2026January 31, 20401994127,700October 31, 2027P60D8815700004/30/2023Interest payable periodically at variable interest rates.P0YFY2019P18YMD--12-31</w:t>
      </w:r>
      <w:r>
        <w:rPr>
          <w:rFonts w:eastAsia="Times New Roman"/>
          <w:vanish/>
        </w:rPr>
        <w:t>http://fasb.org/us-gaap/2022#OtherLiabilitiesNoncurrenthttp://fasb.org/us-gaap/2022#OtherLiabilitiesNoncurrenthttp://fasb.org/us-gaap/2022#AccountsPayableAndAccruedLiabilitiesCurrent2014-12-3120151Interest payable periodically at variable interest rates.01</w:t>
      </w:r>
      <w:r>
        <w:rPr>
          <w:rFonts w:eastAsia="Times New Roman"/>
          <w:vanish/>
        </w:rPr>
        <w:t>/31/2040May 31, 2026http://fasb.org/us-gaap/2022#PropertyPlantAndEquipmentNetMay 31, 20231999May 31, 2026http://fasb.org/us-gaap/2022#OperatingLeaseLiabilityP15Dhttp://fasb.org/us-gaap/2022#PropertyPlantAndEquipmentNetP0Y05/31/2026falseP3YP3YP2Y00010709850</w:t>
      </w:r>
      <w:r>
        <w:rPr>
          <w:rFonts w:eastAsia="Times New Roman"/>
          <w:vanish/>
        </w:rPr>
        <w:t>.3333Interest payable periodically at variable interest rates.http://fasb.org/us-gaap/2022#AccountsPayableAndAccruedLiabilitiesCurrent0001070985cxw:CrossroadsCorrectionalCenterMember2022-12-310001070985cxw:IceMemberus-gaap:AccountingStandardsUpdate201602Me</w:t>
      </w:r>
      <w:r>
        <w:rPr>
          <w:rFonts w:eastAsia="Times New Roman"/>
          <w:vanish/>
        </w:rPr>
        <w:t>mber2022-01-012022-12-310001070985cxw:WalkerHallResidentialReentryCenterMember2022-12-310001070985cxw:KansasDepartmentOfCorrectionsMember2018-01-240001070985cxw:MidwestRegionalReceptionCenterMember2022-12-310001070985cxw:AdditionalSeniorNotesEightPointTwoF</w:t>
      </w:r>
      <w:r>
        <w:rPr>
          <w:rFonts w:eastAsia="Times New Roman"/>
          <w:vanish/>
        </w:rPr>
        <w:t>ivePercentDueTwentyTwentySixMember2021-09-292021-09-290001070985cxw:ArapahoeCommunityTreatmentCenterMember2022-12-3100010709852020-01-012020-12-310001070985us-gaap:OperatingSegmentsMembercxw:CommunitySegmentMember2022-01-012022-12-3100010709852022-07-01202</w:t>
      </w:r>
      <w:r>
        <w:rPr>
          <w:rFonts w:eastAsia="Times New Roman"/>
          <w:vanish/>
        </w:rPr>
        <w:t>2-07-310001070985cxw:IdleFacilitiesMember2022-12-310001070985srt:MinimumMemberus-gaap:BuildingAndBuildingImprovementsMember2022-01-012022-12-310001070985us-gaap:RetainedEarningsMember2020-12-310001070985us-gaap:EmployeeStockOptionMember2022-01-012022-12-31</w:t>
      </w:r>
      <w:r>
        <w:rPr>
          <w:rFonts w:eastAsia="Times New Roman"/>
          <w:vanish/>
        </w:rPr>
        <w:t>0001070985cxw:LaredoProcessingCenterMember2022-01-012022-12-3100010709852020-12-310001070985cxw:TermLoanBDueInDecemberTwentyTwentyFourMember2019-12-180001070985cxw:SeniorNotesFourPointSixTwoFivePercentageMember2021-04-142021-04-140001070985cxw:TDonHuttoRes</w:t>
      </w:r>
      <w:r>
        <w:rPr>
          <w:rFonts w:eastAsia="Times New Roman"/>
          <w:vanish/>
        </w:rPr>
        <w:t>identialCenterMember2022-12-310001070985cxw:DividendPaymentOneMember2020-01-012020-12-310001070985us-gaap:RevolvingCreditFacilityMembersrt:MaximumMembercxw:BloombergShortTermBankYieldIndexMember2022-05-112022-05-120001070985cxw:SeniorNotesFourPointSeventyF</w:t>
      </w:r>
      <w:r>
        <w:rPr>
          <w:rFonts w:eastAsia="Times New Roman"/>
          <w:vanish/>
        </w:rPr>
        <w:t>ivePercentDueTwentyTwentySevenMember2013-04-300001070985cxw:OriginalSeniorNotesEightPointTwoFivePercentDueTwentyTwentySixMember2021-12-310001070985cxw:WestTennesseeDetentionFacilityMembercxw:IdleFacilitiesMember2021-10-012021-10-310001070985us-gaap:CommonS</w:t>
      </w:r>
      <w:r>
        <w:rPr>
          <w:rFonts w:eastAsia="Times New Roman"/>
          <w:vanish/>
        </w:rPr>
        <w:t>tockMember2021-12-310001070985cxw:AdamsTransitionalCenterMember2022-12-310001070985us-gaap:CorporateAndOtherMember2022-12-310001070985srt:MaximumMember2022-08-020001070985us-gaap:OperatingSegmentsMembercxw:PropertiesSegmentMember2021-01-012021-12-310001070</w:t>
      </w:r>
      <w:r>
        <w:rPr>
          <w:rFonts w:eastAsia="Times New Roman"/>
          <w:vanish/>
        </w:rPr>
        <w:t>985us-gaap:RevolvingCreditFacilityMembercxw:PreviousBankCreditFacilityMember2022-05-120001070985cxw:SaguaroCorrectionalFacilityMember2022-12-310001070985us-gaap:RevolvingCreditFacilityMemberus-gaap:BaseRateMember2022-01-012022-12-310001070985cxw:IceMember2</w:t>
      </w:r>
      <w:r>
        <w:rPr>
          <w:rFonts w:eastAsia="Times New Roman"/>
          <w:vanish/>
        </w:rPr>
        <w:t>020-07-012020-09-300001070985us-gaap:SalesRevenueNetMembercxw:StateCorrectionalAuthoritiesMemberus-gaap:GovernmentContractsConcentrationRiskMember2020-01-012020-12-3100010709852021-06-292021-06-290001070985us-gaap:RetainedEarningsMember2022-01-012022-12-31</w:t>
      </w:r>
      <w:r>
        <w:rPr>
          <w:rFonts w:eastAsia="Times New Roman"/>
          <w:vanish/>
        </w:rPr>
        <w:t>0001070985cxw:SouthRaleighReentryCenterMember2022-12-310001070985cxw:CommunitySegmentMember2022-12-310001070985cxw:SouthTexasFamilyResidentialCenterMember2016-10-012016-10-310001070985cxw:HoustonProcessingCenterMember2022-12-310001070985us-gaap:CommonStock</w:t>
      </w:r>
      <w:r>
        <w:rPr>
          <w:rFonts w:eastAsia="Times New Roman"/>
          <w:vanish/>
        </w:rPr>
        <w:t>Member2019-12-310001070985cxw:IdleFacilitiesMember2021-01-012021-12-310001070985cxw:TwentyTwentyStockIncentivePlanMember2022-12-310001070985us-gaap:RevolvingCreditFacilityMembersrt:MaximumMember2022-05-120001070985cxw:UnitedStatesMarshalsServiceMemberus-ga</w:t>
      </w:r>
      <w:r>
        <w:rPr>
          <w:rFonts w:eastAsia="Times New Roman"/>
          <w:vanish/>
        </w:rPr>
        <w:t>ap:SalesRevenueNetMemberus-gaap:GovernmentContractsConcentrationRiskMember2022-01-012022-12-310001070985cxw:PurchaseAndSaleAgreementMembercxw:CommunitySegmentMembercxw:ColumbineFacilityMember2022-01-012022-12-310001070985cxw:PurchaseAndSaleAgreementMemberc</w:t>
      </w:r>
      <w:r>
        <w:rPr>
          <w:rFonts w:eastAsia="Times New Roman"/>
          <w:vanish/>
        </w:rPr>
        <w:t>xw:CommunitySegmentMembercxw:ColumbineFacilityMember2022-12-310001070985us-gaap:RestrictedStockMemberus-gaap:GeneralAndAdministrativeExpenseMember2022-01-012022-12-310001070985srt:MinimumMembercxw:PreviousBankCreditFacilityMember2022-05-112022-05-120001070</w:t>
      </w:r>
      <w:r>
        <w:rPr>
          <w:rFonts w:eastAsia="Times New Roman"/>
          <w:vanish/>
        </w:rPr>
        <w:t>985us-gaap:CommonStockMember2021-01-012021-12-310001070985cxw:SeniorNotesEightPointTwoFivePercentDueTwentyTwentySixMember2021-04-140001070985cxw:TermLoanBDueInDecemberTwentyTwentyFourMember2019-12-182019-12-180001070985cxw:PurchaseAndSaleAgreementMembercxw</w:t>
      </w:r>
      <w:r>
        <w:rPr>
          <w:rFonts w:eastAsia="Times New Roman"/>
          <w:vanish/>
        </w:rPr>
        <w:t>:McRaeCorrectionalFacilityMembercxw:SafetySegmentMember2022-07-252022-07-250001070985us-gaap:CorporateAndOtherMember2022-01-012022-12-310001070985cxw:SeniorNotesFourPointSeventyFivePercentDueTwentyTwentySevenMember2022-01-012022-12-310001070985cxw:ElPasoTr</w:t>
      </w:r>
      <w:r>
        <w:rPr>
          <w:rFonts w:eastAsia="Times New Roman"/>
          <w:vanish/>
        </w:rPr>
        <w:t>ansitionalCenterMember2022-12-310001070985cxw:TurleyResidentialCenterMember2022-01-012022-12-310001070985cxw:FortWorthTransitionalCenterMember2022-01-012022-12-310001070985cxw:SouthRaleighReentryCenterMember2022-01-012022-12-310001070985us-gaap:RevolvingCr</w:t>
      </w:r>
      <w:r>
        <w:rPr>
          <w:rFonts w:eastAsia="Times New Roman"/>
          <w:vanish/>
        </w:rPr>
        <w:t>editFacilityMembersrt:MaximumMemberus-gaap:BaseRateMember2022-05-112022-05-120001070985cxw:SeniorNotesEightPointTwoFivePercentDueTwentyTwentySixMember2022-12-310001070985us-gaap:RevolvingCreditFacilityMembersrt:MaximumMember2022-05-112022-05-120001070985cx</w:t>
      </w:r>
      <w:r>
        <w:rPr>
          <w:rFonts w:eastAsia="Times New Roman"/>
          <w:vanish/>
        </w:rPr>
        <w:t>w:FederalCorrectionalAndDetentionAuthoritiesMemberus-gaap:SalesRevenueNetMemberus-gaap:GovernmentContractsConcentrationRiskMember2020-01-012020-12-310001070985us-gaap:AdditionalPaidInCapitalMember2020-01-012020-12-3100010709852022-12-012022-12-310001070985</w:t>
      </w:r>
      <w:r>
        <w:rPr>
          <w:rFonts w:eastAsia="Times New Roman"/>
          <w:vanish/>
        </w:rPr>
        <w:t>cxw:RevolvingCreditFacilityDueInMayTwentyTwentySixMemberus-gaap:RevolvingCreditFacilityMember2022-01-012022-12-310001070985cxw:FortWorthTransitionalCenterMember2022-12-310001070985cxw:IdleFacilitiesMember2020-01-012020-12-310001070985us-gaap:RestrictedStoc</w:t>
      </w:r>
      <w:r>
        <w:rPr>
          <w:rFonts w:eastAsia="Times New Roman"/>
          <w:vanish/>
        </w:rPr>
        <w:t>kMembersrt:MinimumMember2022-01-012022-12-310001070985us-gaap:RevolvingCreditFacilityMembercxw:BloombergShortTermBankYieldIndexMember2022-01-012022-12-310001070985cxw:TermLoanADueInMayTwentyTwentySixMember2022-12-3100010709852022-12-310001070985cxw:AustinR</w:t>
      </w:r>
      <w:r>
        <w:rPr>
          <w:rFonts w:eastAsia="Times New Roman"/>
          <w:vanish/>
        </w:rPr>
        <w:t>esidentialReEntryCenterMember2022-01-012022-12-310001070985cxw:IdleFacilitiesMember2022-01-012022-12-310001070985cxw:HoustonProcessingCenterMember2022-01-012022-12-310001070985cxw:AgecroftPrisonManagementLtdMember2022-01-012022-12-310001070985cxw:LakeErieC</w:t>
      </w:r>
      <w:r>
        <w:rPr>
          <w:rFonts w:eastAsia="Times New Roman"/>
          <w:vanish/>
        </w:rPr>
        <w:t>orrectionalInstitutionMember2022-01-012022-12-310001070985cxw:PropertiesSegmentMember2021-01-012021-12-310001070985cxw:SeniorNotesFourPointSixTwoFivePercentageMember2022-12-310001070985cxw:PropertiesSegmentMembercxw:StocktonFemaleCommunityCorrectionsFacili</w:t>
      </w:r>
      <w:r>
        <w:rPr>
          <w:rFonts w:eastAsia="Times New Roman"/>
          <w:vanish/>
        </w:rPr>
        <w:t>tyAndLongBeachCommunityCorrectionsCenterMember2022-07-012022-07-310001070985srt:MaximumMembercxw:EquipmentAndSoftwareMember2022-01-012022-12-310001070985cxw:HuerfanoCountyCorrectionalCenterMember2022-12-310001070985cxw:MidwestRegionalReceptionCenterMember2</w:t>
      </w:r>
      <w:r>
        <w:rPr>
          <w:rFonts w:eastAsia="Times New Roman"/>
          <w:vanish/>
        </w:rPr>
        <w:t>022-01-012022-12-310001070985cxw:WheelerCorrectionalFacilityMember2022-01-012022-12-310001070985cxw:AfterTwoYearsOfServiceMembercxw:DeferredCompensationPlansMember2022-01-012022-12-310001070985srt:MaximumMemberus-gaap:BuildingAndBuildingImprovementsMember2</w:t>
      </w:r>
      <w:r>
        <w:rPr>
          <w:rFonts w:eastAsia="Times New Roman"/>
          <w:vanish/>
        </w:rPr>
        <w:t>022-01-012022-12-310001070985us-gaap:RestrictedStockMembercxw:EmployeesAndNonEmployeeDirectorsMemberus-gaap:GeneralAndAdministrativeExpenseMember2021-01-012021-12-310001070985srt:MinimumMemberus-gaap:EmployeeStockOptionMember2021-01-012021-12-310001070985c</w:t>
      </w:r>
      <w:r>
        <w:rPr>
          <w:rFonts w:eastAsia="Times New Roman"/>
          <w:vanish/>
        </w:rPr>
        <w:t>xw:DavisCorrectionalFacilityMember2022-01-012022-12-310001070985cxw:NewRevolvingCreditFacilityMember2022-05-120001070985us-gaap:MaterialReconcilingItemsMemberus-gaap:OtherIncomeMember2020-01-012020-12-310001070985us-gaap:OtherAssetsMember2021-12-3100010709</w:t>
      </w:r>
      <w:r>
        <w:rPr>
          <w:rFonts w:eastAsia="Times New Roman"/>
          <w:vanish/>
        </w:rPr>
        <w:t>85cxw:EmployeeMemberus-gaap:RestrictedStockMemberus-gaap:OperatingExpenseMember2021-01-012021-12-310001070985cxw:LansingCorrectionalCenterNonRecourseMortgageNoteFourPointFourThreePercentDueTwentyFortyMember2021-12-310001070985cxw:PrairieCorrectionalFacilit</w:t>
      </w:r>
      <w:r>
        <w:rPr>
          <w:rFonts w:eastAsia="Times New Roman"/>
          <w:vanish/>
        </w:rPr>
        <w:t>yMember2022-01-012022-12-310001070985us-gaap:AccountingStandardsUpdate201602Member2021-01-012021-12-310001070985cxw:AustinTransitionalCenterMember2022-01-012022-12-310001070985cxw:WhitevilleCorrectionalFacilityMember2022-01-012022-12-310001070985cxw:WestTe</w:t>
      </w:r>
      <w:r>
        <w:rPr>
          <w:rFonts w:eastAsia="Times New Roman"/>
          <w:vanish/>
        </w:rPr>
        <w:t>nnesseeDetentionFacilityMember2022-01-012022-12-310001070985cxw:LeoChesneyCorrectionalCenterMember2022-12-310001070985us-gaap:SalesRevenueNetMembercxw:UnitedStatesImmigrationAndCustomsEnforcementMemberus-gaap:GovernmentContractsConcentrationRiskMember2020-</w:t>
      </w:r>
      <w:r>
        <w:rPr>
          <w:rFonts w:eastAsia="Times New Roman"/>
          <w:vanish/>
        </w:rPr>
        <w:t>01-012020-12-310001070985cxw:DavisCorrectionalFacilityMember2022-12-310001070985us-gaap:OperatingSegmentsMember2020-01-012020-12-310001070985cxw:ColumbineFacilityMember2022-01-012022-12-3100010709852017-12-310001070985cxw:PropertiesSegmentMember2022-12-310</w:t>
      </w:r>
      <w:r>
        <w:rPr>
          <w:rFonts w:eastAsia="Times New Roman"/>
          <w:vanish/>
        </w:rPr>
        <w:t>001070985cxw:WalkerHallResidentialReentryCenterMember2022-01-012022-12-310001070985cxw:SafetySegmentMember2022-12-310001070985cxw:SeniorNotesFivePointZeroPercentMember2021-04-140001070985us-gaap:SalesRevenueNetMembercxw:FederalBureauOfPrisonsMemberus-gaap:</w:t>
      </w:r>
      <w:r>
        <w:rPr>
          <w:rFonts w:eastAsia="Times New Roman"/>
          <w:vanish/>
        </w:rPr>
        <w:t>GovernmentContractsConcentrationRiskMember2022-01-012022-12-310001070985cxw:CaliforniaCityCorrectionalCenterMember2022-12-310001070985cxw:MidwestRegionalReceptionCenterMember2021-12-310001070985cxw:SavingsAndRetirementPlansMember2020-01-012020-12-310001070</w:t>
      </w:r>
      <w:r>
        <w:rPr>
          <w:rFonts w:eastAsia="Times New Roman"/>
          <w:vanish/>
        </w:rPr>
        <w:t>985cxw:RecoveryMonitoringSolutionsMember2022-01-012022-12-310001070985cxw:PurchaseAndSaleAgreementMembercxw:CommunitySegmentMember2022-07-012022-09-300001070985cxw:AugustaTransitionalCenterMember2022-12-310001070985srt:MinimumMembercxw:SavingsAndRetirement</w:t>
      </w:r>
      <w:r>
        <w:rPr>
          <w:rFonts w:eastAsia="Times New Roman"/>
          <w:vanish/>
        </w:rPr>
        <w:t>PlansMember2021-01-012021-12-310001070985cxw:DahliaFacilityMember2022-01-012022-12-310001070985cxw:KansasDepartmentOfCorrectionsMember2020-01-012020-12-310001070985cxw:BentCountyCorrectionalFacilityMember2022-12-310001070985cxw:TermLoanBDueInDecemberTwenty</w:t>
      </w:r>
      <w:r>
        <w:rPr>
          <w:rFonts w:eastAsia="Times New Roman"/>
          <w:vanish/>
        </w:rPr>
        <w:t>TwentyFourMember2021-01-012021-12-310001070985srt:MaximumMembercxw:SouthTexasFamilyResidentialCenterMember2014-09-012014-09-300001070985cxw:OperatingPartnershipUnitMember2022-01-012022-12-310001070985cxw:SeniorNotesFourPointSixTwoFivePercentageMember2022-1</w:t>
      </w:r>
      <w:r>
        <w:rPr>
          <w:rFonts w:eastAsia="Times New Roman"/>
          <w:vanish/>
        </w:rPr>
        <w:t>0-012022-12-310001070985cxw:NorthwestNewMexicoCorrectionalCenterMember2022-01-012022-12-310001070985us-gaap:RevolvingCreditFacilityMembersrt:MinimumMembercxw:BloombergShortTermBankYieldIndexMember2022-05-112022-05-1200010709852018-12-310001070985cxw:Senior</w:t>
      </w:r>
      <w:r>
        <w:rPr>
          <w:rFonts w:eastAsia="Times New Roman"/>
          <w:vanish/>
        </w:rPr>
        <w:t>NotesEightPointTwoFivePercentDueTwentyTwentySixMember2021-09-300001070985us-gaap:RevolvingCreditFacilityMember2022-12-310001070985cxw:RothHallResidentialReentryCenterMember2022-01-012022-12-310001070985cxw:TallahatchieCountyCorrectionalFacilityMember2022-0</w:t>
      </w:r>
      <w:r>
        <w:rPr>
          <w:rFonts w:eastAsia="Times New Roman"/>
          <w:vanish/>
        </w:rPr>
        <w:t>1-012022-12-310001070985cxw:IceMember2021-01-012021-12-310001070985us-gaap:OtherNoncurrentAssetsMember2022-12-310001070985cxw:OklahomaCityTransitionalCenterMember2022-12-3100010709852019-12-310001070985us-gaap:SubsequentEventMembercxw:OtherEmployeesMember2</w:t>
      </w:r>
      <w:r>
        <w:rPr>
          <w:rFonts w:eastAsia="Times New Roman"/>
          <w:vanish/>
        </w:rPr>
        <w:t>023-02-012023-02-280001070985cxw:TermLoanBDueInDecemberTwentyTwentyFourMemberus-gaap:LondonInterbankOfferedRateLIBORMember2019-12-180001070985cxw:SavingsAndRetirementPlansMember2022-01-012022-12-310001070985cxw:TermLoanADueInMayTwentyTwentySixMember2022-01</w:t>
      </w:r>
      <w:r>
        <w:rPr>
          <w:rFonts w:eastAsia="Times New Roman"/>
          <w:vanish/>
        </w:rPr>
        <w:t>-012022-12-3100010709852020-01-020001070985cxw:ElPasoMultiUseFacilityMember2022-01-012022-12-310001070985cxw:FivePointZeroPercentageAndFourPointSixTwoFivePercentageSeniorNotesMember2021-04-012021-06-300001070985cxw:PrairieCorrectionalFacilityMember2022-12-</w:t>
      </w:r>
      <w:r>
        <w:rPr>
          <w:rFonts w:eastAsia="Times New Roman"/>
          <w:vanish/>
        </w:rPr>
        <w:t>310001070985cxw:NorthForkCorrectionalFacilityMember2022-01-012022-12-310001070985cxw:RecoveryMonitoringSolutionsMember2022-12-310001070985cxw:LakeErieCorrectionalInstitutionMember2022-12-310001070985cxw:DiamondbackCorrectionalFacilityMember2022-12-31000107</w:t>
      </w:r>
      <w:r>
        <w:rPr>
          <w:rFonts w:eastAsia="Times New Roman"/>
          <w:vanish/>
        </w:rPr>
        <w:t>09852020-12-230001070985srt:ExecutiveOfficerMembercxw:DeferredCompensationPlansMember2022-12-310001070985us-gaap:OperatingSegmentsMembercxw:CommunitySegmentMember2021-01-012021-12-310001070985us-gaap:RestrictedStockMemberus-gaap:GeneralAndAdministrativeExp</w:t>
      </w:r>
      <w:r>
        <w:rPr>
          <w:rFonts w:eastAsia="Times New Roman"/>
          <w:vanish/>
        </w:rPr>
        <w:t>enseMember2021-01-012021-12-310001070985us-gaap:RetainedEarningsMember2021-12-310001070985cxw:MarionAdjustmentCenterMember2021-12-310001070985us-gaap:EmployeeStockOptionMember2022-12-310001070985us-gaap:OperatingSegmentsMember2021-01-012021-12-310001070985</w:t>
      </w:r>
      <w:r>
        <w:rPr>
          <w:rFonts w:eastAsia="Times New Roman"/>
          <w:vanish/>
        </w:rPr>
        <w:t>cxw:LeeAdjustmentCenterMember2022-01-012022-12-310001070985cxw:EmployeesAndNonEmployeeDirectorsMemberus-gaap:RestrictedStockMemberus-gaap:SubsequentEventMember2023-02-012023-02-280001070985srt:MaximumMembercxw:PreviousBankCreditFacilityMember2022-05-112022</w:t>
      </w:r>
      <w:r>
        <w:rPr>
          <w:rFonts w:eastAsia="Times New Roman"/>
          <w:vanish/>
        </w:rPr>
        <w:t>-05-120001070985cxw:TorranceCountyDetentionFacilityMember2022-12-310001070985us-gaap:DebtInstrumentRedemptionPeriodOneMembercxw:SeniorNotesEightPointTwoFivePercentDueTwentyTwentySixMember2022-01-012022-12-310001070985cxw:NortheastOhioCorrectionalCenterMemb</w:t>
      </w:r>
      <w:r>
        <w:rPr>
          <w:rFonts w:eastAsia="Times New Roman"/>
          <w:vanish/>
        </w:rPr>
        <w:t>er2022-12-310001070985cxw:DeferredCompensationPlansMember2021-12-310001070985cxw:CoffeeCorrectionalFacilityMember2022-12-310001070985us-gaap:AccountingStandardsUpdate201602Member2021-12-310001070985cxw:CentralArizonaFlorenceCorrectionalComplexMembersrt:Min</w:t>
      </w:r>
      <w:r>
        <w:rPr>
          <w:rFonts w:eastAsia="Times New Roman"/>
          <w:vanish/>
        </w:rPr>
        <w:t>imumMember2022-01-012022-12-310001070985us-gaap:RestrictedStockMember2020-01-012020-12-310001070985cxw:SeniorNotesFourPointSixTwoFivePercentageMember2021-12-310001070985cxw:IceMember2014-12-310001070985cxw:CibolaCountyCorrectionsCenterMember2022-12-3100010</w:t>
      </w:r>
      <w:r>
        <w:rPr>
          <w:rFonts w:eastAsia="Times New Roman"/>
          <w:vanish/>
        </w:rPr>
        <w:t>70985us-gaap:CommonStockMember2020-01-012020-12-310001070985cxw:SavingsAndRetirementPlansMember2021-01-012021-12-310001070985cxw:IdledCorrectionalFacilitiesMember2022-01-012022-12-310001070985us-gaap:ParentMember2020-01-012020-12-310001070985cxw:SeniorNote</w:t>
      </w:r>
      <w:r>
        <w:rPr>
          <w:rFonts w:eastAsia="Times New Roman"/>
          <w:vanish/>
        </w:rPr>
        <w:t>sFourPointSixTwentyFivePercentDueTwentyTwentyThreeMember2013-04-012013-04-300001070985cxw:AfterFourYearsOfServiceMembercxw:DeferredCompensationPlansMember2022-01-012022-12-310001070985cxw:CheyenneTransitionalCenterMember2022-01-012022-12-310001070985cxw:Op</w:t>
      </w:r>
      <w:r>
        <w:rPr>
          <w:rFonts w:eastAsia="Times New Roman"/>
          <w:vanish/>
        </w:rPr>
        <w:t>eratingPartnershipUnitMember2021-01-012021-12-310001070985cxw:OtayMesaDetentionCenterMembersrt:MinimumMember2022-01-012022-12-310001070985cxw:CommunitySegmentMembercxw:IdleFacilitiesMember2022-12-310001070985cxw:CommunitySegmentMembercxw:IdleFacilitiesMemb</w:t>
      </w:r>
      <w:r>
        <w:rPr>
          <w:rFonts w:eastAsia="Times New Roman"/>
          <w:vanish/>
        </w:rPr>
        <w:t>er2022-01-012022-12-310001070985cxw:LongmontCommunityTreatmentCenterMember2022-01-012022-12-310001070985us-gaap:RestrictedStockMemberus-gaap:OperatingExpenseMember2020-01-012020-12-310001070985cxw:PreviousBankCreditFacilityMember2022-04-012022-06-300001070</w:t>
      </w:r>
      <w:r>
        <w:rPr>
          <w:rFonts w:eastAsia="Times New Roman"/>
          <w:vanish/>
        </w:rPr>
        <w:t>985srt:MaximumMembercxw:SouthTexasFamilyResidentialCenterMember2014-09-300001070985cxw:CommunitySegmentMember2022-01-012022-12-310001070985us-gaap:SalesRevenueNetMembercxw:UnitedStatesImmigrationAndCustomsEnforcementMemberus-gaap:GovernmentContractsConcent</w:t>
      </w:r>
      <w:r>
        <w:rPr>
          <w:rFonts w:eastAsia="Times New Roman"/>
          <w:vanish/>
        </w:rPr>
        <w:t>rationRiskMember2022-01-012022-12-310001070985cxw:NorthForkCorrectionalFacilityMember2022-12-310001070985us-gaap:OperatingSegmentsMembercxw:SafetySegmentMember2021-01-012021-12-310001070985cxw:TorranceCountyDetentionFacilityMember2022-01-012022-12-31000107</w:t>
      </w:r>
      <w:r>
        <w:rPr>
          <w:rFonts w:eastAsia="Times New Roman"/>
          <w:vanish/>
        </w:rPr>
        <w:t>0985cxw:SouthTexasFamilyResidentialCenterMember2022-12-310001070985us-gaap:MaterialReconcilingItemsMemberus-gaap:OtherIncomeMember2022-01-012022-12-310001070985us-gaap:RestrictedStockMemberus-gaap:OperatingExpenseMember2022-01-012022-12-310001070985cxw:Ede</w:t>
      </w:r>
      <w:r>
        <w:rPr>
          <w:rFonts w:eastAsia="Times New Roman"/>
          <w:vanish/>
        </w:rPr>
        <w:t>nDetentionCenterMember2022-01-012022-12-310001070985us-gaap:MaterialReconcilingItemsMember2022-01-012022-12-310001070985cxw:RevolvingCreditFacilityDueInAprilTwentyTwentyThreeMemberus-gaap:RevolvingCreditFacilityMember2021-01-012021-12-310001070985cxw:OtayM</w:t>
      </w:r>
      <w:r>
        <w:rPr>
          <w:rFonts w:eastAsia="Times New Roman"/>
          <w:vanish/>
        </w:rPr>
        <w:t>esaDetentionCenterMembersrt:MaximumMember2022-01-012022-12-310001070985us-gaap:RestrictedStockMembercxw:EmployeesAndNonEmployeeDirectorsMember2022-01-012022-12-310001070985cxw:UnitedStatesMarshalsServiceMemberus-gaap:SalesRevenueNetMemberus-gaap:Government</w:t>
      </w:r>
      <w:r>
        <w:rPr>
          <w:rFonts w:eastAsia="Times New Roman"/>
          <w:vanish/>
        </w:rPr>
        <w:t>ContractsConcentrationRiskMember2021-01-012021-12-310001070985us-gaap:ParentMember2021-12-3100010709852022-01-012022-03-310001070985cxw:TrousdaleTurnerCorrectionalCenterMember2022-01-012022-12-310001070985cxw:JenkinsCorrectionalCenterMember2022-01-012022-1</w:t>
      </w:r>
      <w:r>
        <w:rPr>
          <w:rFonts w:eastAsia="Times New Roman"/>
          <w:vanish/>
        </w:rPr>
        <w:t>2-3100010709852022-05-120001070985cxw:SeniorNotesFourPointSixTwentyFivePercentDueTwentyTwentyThreeMember2013-04-300001070985us-gaap:AdditionalPaidInCapitalMember2021-12-3100010709852022-07-012022-09-300001070985cxw:RothHallResidentialReentryCenterAndTheWal</w:t>
      </w:r>
      <w:r>
        <w:rPr>
          <w:rFonts w:eastAsia="Times New Roman"/>
          <w:vanish/>
        </w:rPr>
        <w:t>kerHallResidentialReentryCenterMember2022-09-300001070985cxw:SeniorNotesEightPointTwoFivePercentMember2022-12-310001070985cxw:CentralArizonaFlorenceCorrectionalComplexMember2022-12-310001070985cxw:AugustaTransitionalCenterMember2022-01-012022-12-3100010709</w:t>
      </w:r>
      <w:r>
        <w:rPr>
          <w:rFonts w:eastAsia="Times New Roman"/>
          <w:vanish/>
        </w:rPr>
        <w:t>85us-gaap:AccountingStandardsUpdate201613Membersrt:RevisionOfPriorPeriodAccountingStandardsUpdateAdjustmentMember2020-03-310001070985cxw:ThirdPartyLessorMemberus-gaap:AccountingStandardsUpdate201602Member2022-12-310001070985us-gaap:RetainedEarningsMember20</w:t>
      </w:r>
      <w:r>
        <w:rPr>
          <w:rFonts w:eastAsia="Times New Roman"/>
          <w:vanish/>
        </w:rPr>
        <w:t>20-01-012020-12-310001070985cxw:LaPalmaCorrectionalCenterMember2022-12-310001070985cxw:WebbCountyDetentionCenterMember2022-01-012022-12-310001070985us-gaap:EmployeeStockOptionMember2020-01-012020-12-310001070985cxw:SeniorNotesEightPointTwoFivePercentDueTwe</w:t>
      </w:r>
      <w:r>
        <w:rPr>
          <w:rFonts w:eastAsia="Times New Roman"/>
          <w:vanish/>
        </w:rPr>
        <w:t>ntyTwentySixMember2022-01-012022-12-310001070985us-gaap:RevolvingCreditFacilityMembersrt:MinimumMemberus-gaap:BaseRateMember2022-05-112022-05-120001070985cxw:FederalCorrectionalAndDetentionAuthoritiesMemberus-gaap:SalesRevenueNetMemberus-gaap:GovernmentCon</w:t>
      </w:r>
      <w:r>
        <w:rPr>
          <w:rFonts w:eastAsia="Times New Roman"/>
          <w:vanish/>
        </w:rPr>
        <w:t>tractsConcentrationRiskMember2021-01-012021-12-310001070985us-gaap:OperatingSegmentsMembercxw:CommunitySegmentMember2020-01-012020-12-310001070985srt:MaximumMember2022-01-012022-12-310001070985us-gaap:AccountingStandardsUpdate201602Member2020-01-012020-12-</w:t>
      </w:r>
      <w:r>
        <w:rPr>
          <w:rFonts w:eastAsia="Times New Roman"/>
          <w:vanish/>
        </w:rPr>
        <w:t>310001070985us-gaap:SalesRevenueNetMembercxw:UnitedStatesImmigrationAndCustomsEnforcementMemberus-gaap:GovernmentContractsConcentrationRiskMember2021-01-012021-12-310001070985cxw:PreviousBankCreditFacilityMember2022-05-120001070985us-gaap:OtherAssetsMember</w:t>
      </w:r>
      <w:r>
        <w:rPr>
          <w:rFonts w:eastAsia="Times New Roman"/>
          <w:vanish/>
        </w:rPr>
        <w:t>2022-12-310001070985cxw:LaredoProcessingCenterMember2022-12-310001070985cxw:CommerceTransitionalCenterMember2022-01-012022-12-310001070985us-gaap:RestrictedStockMember2021-12-310001070985cxw:EloyDetentionCenterMember2022-12-310001070985us-gaap:RestrictedSt</w:t>
      </w:r>
      <w:r>
        <w:rPr>
          <w:rFonts w:eastAsia="Times New Roman"/>
          <w:vanish/>
        </w:rPr>
        <w:t>ockMember2021-01-012021-12-310001070985cxw:CorpusChristiTransitionalCenterMember2022-01-012022-12-310001070985cxw:GovernmentRealEstateSolutionsLLCMember2021-09-012021-09-3000010709852021-05-012021-05-310001070985cxw:TermLoanBDueInDecemberTwentyTwentyFourMe</w:t>
      </w:r>
      <w:r>
        <w:rPr>
          <w:rFonts w:eastAsia="Times New Roman"/>
          <w:vanish/>
        </w:rPr>
        <w:t>mberus-gaap:LondonInterbankOfferedRateLIBORMember2019-12-182019-12-180001070985cxw:OriginalSeniorNotesEightPointTwoFivePercentDueTwentyTwentySixMember2021-04-142021-04-140001070985us-gaap:ParentMember2020-12-310001070985cxw:CibolaCountyCorrectionsCenterMem</w:t>
      </w:r>
      <w:r>
        <w:rPr>
          <w:rFonts w:eastAsia="Times New Roman"/>
          <w:vanish/>
        </w:rPr>
        <w:t>ber2022-01-012022-12-3100010709852020-12-232020-12-230001070985cxw:DeferredCompensationPlansMember2020-01-012020-12-310001070985cxw:OklahomaCityTransitionalCenterMember2022-01-012022-12-310001070985cxw:TermLoanBMember2022-01-012022-12-310001070985cxw:James</w:t>
      </w:r>
      <w:r>
        <w:rPr>
          <w:rFonts w:eastAsia="Times New Roman"/>
          <w:vanish/>
        </w:rPr>
        <w:t>RiverResidentialCenterMember2022-12-310001070985cxw:BridgeportPreParoleTransferFacilityMember2022-12-310001070985cxw:CreditAgreementMemberus-gaap:RevolvingCreditFacilityMember2022-05-120001070985srt:MaximumMember2022-08-022022-08-020001070985cxw:Crossroads</w:t>
      </w:r>
      <w:r>
        <w:rPr>
          <w:rFonts w:eastAsia="Times New Roman"/>
          <w:vanish/>
        </w:rPr>
        <w:t>CorrectionalCenterMember2022-01-012022-12-310001070985us-gaap:AdditionalPaidInCapitalMember2020-12-310001070985cxw:WheelerCorrectionalFacilityMember2022-12-310001070985cxw:IceMember2022-01-012022-12-310001070985cxw:KitCarsonCorrectionalCenterMember2022-01-</w:t>
      </w:r>
      <w:r>
        <w:rPr>
          <w:rFonts w:eastAsia="Times New Roman"/>
          <w:vanish/>
        </w:rPr>
        <w:t>012022-12-310001070985us-gaap:ParentMember2021-01-012021-12-310001070985us-gaap:MaterialReconcilingItemsMember2021-01-012021-12-310001070985cxw:SeniorNotesFourPointSeventyFivePercentDueTwentyTwentySevenMember2017-10-012017-10-310001070985srt:GuarantorSubsi</w:t>
      </w:r>
      <w:r>
        <w:rPr>
          <w:rFonts w:eastAsia="Times New Roman"/>
          <w:vanish/>
        </w:rPr>
        <w:t>diariesMember2022-01-012022-12-310001070985cxw:TermLoanAMember2022-12-310001070985cxw:AfterFiveOrMoreYearsOfServiceMembercxw:DeferredCompensationPlansMember2022-01-012022-12-310001070985cxw:InstallmentPaymentMembercxw:IceMember2014-10-012014-12-31000107098</w:t>
      </w:r>
      <w:r>
        <w:rPr>
          <w:rFonts w:eastAsia="Times New Roman"/>
          <w:vanish/>
        </w:rPr>
        <w:t>5cxw:AdditionalSeniorNotesEightPointTwoFivePercentDueTwentyTwentySixMember2021-09-290001070985cxw:LongmontCommunityTreatmentCenterMember2022-12-310001070985cxw:CommunitySegmentMember2021-12-310001070985cxw:CrowleyCountyCorrectionalFacilityMember2022-12-310</w:t>
      </w:r>
      <w:r>
        <w:rPr>
          <w:rFonts w:eastAsia="Times New Roman"/>
          <w:vanish/>
        </w:rPr>
        <w:t>001070985us-gaap:AdditionalPaidInCapitalMember2021-01-012021-12-310001070985us-gaap:SalesRevenueNetMembercxw:FederalBureauOfPrisonsMemberus-gaap:GovernmentContractsConcentrationRiskMember2020-01-012020-12-310001070985us-gaap:OperatingSegmentsMembercxw:Safe</w:t>
      </w:r>
      <w:r>
        <w:rPr>
          <w:rFonts w:eastAsia="Times New Roman"/>
          <w:vanish/>
        </w:rPr>
        <w:t>tySegmentMember2020-01-012020-12-310001070985cxw:OperatingPartnershipUnitMember2020-01-012020-12-310001070985cxw:SeniorNotesEightPointTwoFivePercentDueTwentyTwentySixMember2021-04-300001070985cxw:CentralArizonaFlorenceCorrectionalComplexMembersrt:MaximumMe</w:t>
      </w:r>
      <w:r>
        <w:rPr>
          <w:rFonts w:eastAsia="Times New Roman"/>
          <w:vanish/>
        </w:rPr>
        <w:t>mber2022-01-012022-12-310001070985cxw:SeniorNotesFourPointSeventyFivePercentDueTwentyTwentySevenMember2021-12-310001070985us-gaap:NoncontrollingInterestMember2020-12-310001070985cxw:HuerfanoCountyCorrectionalCenterMember2021-12-310001070985cxw:PurchaseAndS</w:t>
      </w:r>
      <w:r>
        <w:rPr>
          <w:rFonts w:eastAsia="Times New Roman"/>
          <w:vanish/>
        </w:rPr>
        <w:t>aleAgreementMembercxw:CommunitySegmentMembercxw:ColumbineFacilityMember2022-10-012022-12-310001070985us-gaap:EmployeeStockOptionMember2021-12-310001070985cxw:ContractCostMember2021-12-310001070985cxw:SeniorNotesFourPointSeventyFivePercentDueTwentyTwentySev</w:t>
      </w:r>
      <w:r>
        <w:rPr>
          <w:rFonts w:eastAsia="Times New Roman"/>
          <w:vanish/>
        </w:rPr>
        <w:t>enMember2017-10-310001070985cxw:SeniorNotesEightPointTwoFivePercentDueTwentyTwentySixMemberus-gaap:DebtInstrumentRedemptionPeriodTwoMember2022-01-012022-12-3100010709852022-04-012022-06-300001070985cxw:CimarronCorrectionalFacilityMember2022-12-310001070985</w:t>
      </w:r>
      <w:r>
        <w:rPr>
          <w:rFonts w:eastAsia="Times New Roman"/>
          <w:vanish/>
        </w:rPr>
        <w:t>cxw:DallasTransitionalCenterMember2022-12-310001070985cxw:ServiceContractMember2022-12-310001070985cxw:SafetySegmentMember2020-01-012020-12-310001070985cxw:ColumbineFacilityMember2022-12-310001070985srt:MinimumMember2022-01-012022-12-310001070985cxw:Senior</w:t>
      </w:r>
      <w:r>
        <w:rPr>
          <w:rFonts w:eastAsia="Times New Roman"/>
          <w:vanish/>
        </w:rPr>
        <w:t>NotesEightPointTwoFivePercentMember2022-01-012022-12-310001070985cxw:CreditAgreementMembercxw:TermLoanADueInMayTwentyTwentySixMember2022-05-120001070985cxw:NewRevolvingCreditFacilityMember2022-12-310001070985cxw:WestTennesseeDetentionFacilityMember2021-12-</w:t>
      </w:r>
      <w:r>
        <w:rPr>
          <w:rFonts w:eastAsia="Times New Roman"/>
          <w:vanish/>
        </w:rPr>
        <w:t>310001070985cxw:KitCarsonCorrectionalCenterMember2021-12-310001070985cxw:HuerfanoCountyCorrectionalCenterMember2022-01-012022-12-310001070985cxw:TermLoanBDueInDecemberTwentyTwentyFourMember2022-05-192022-05-190001070985cxw:StewartDetentionCenterMember2022-</w:t>
      </w:r>
      <w:r>
        <w:rPr>
          <w:rFonts w:eastAsia="Times New Roman"/>
          <w:vanish/>
        </w:rPr>
        <w:t>12-310001070985us-gaap:RevolvingCreditFacilityMember2022-05-120001070985cxw:CoffeeCorrectionalFacilityMember2022-01-012022-12-310001070985cxw:ElPasoMultiUseFacilityMember2022-12-310001070985us-gaap:RetainedEarningsMember2021-01-012021-12-310001070985us-gaa</w:t>
      </w:r>
      <w:r>
        <w:rPr>
          <w:rFonts w:eastAsia="Times New Roman"/>
          <w:vanish/>
        </w:rPr>
        <w:t>p:SalesRevenueNetMembercxw:StateCorrectionalAuthoritiesMemberus-gaap:GovernmentContractsConcentrationRiskMember2021-01-012021-12-310001070985cxw:PurchaseAndSaleAgreementMembercxw:CommunitySegmentMember2022-11-302022-11-300001070985us-gaap:RestrictedStockMe</w:t>
      </w:r>
      <w:r>
        <w:rPr>
          <w:rFonts w:eastAsia="Times New Roman"/>
          <w:vanish/>
        </w:rPr>
        <w:t>mberus-gaap:OperatingExpenseMember2021-01-012021-12-310001070985cxw:SouthTexasFamilyResidentialCenterMember2020-09-012020-09-300001070985cxw:UnitedStatesMarshalsServiceMemberus-gaap:SalesRevenueNetMemberus-gaap:GovernmentContractsConcentrationRiskMember202</w:t>
      </w:r>
      <w:r>
        <w:rPr>
          <w:rFonts w:eastAsia="Times New Roman"/>
          <w:vanish/>
        </w:rPr>
        <w:t>0-01-012020-12-310001070985cxw:CimarronCorrectionalFacilityMember2022-01-012022-12-3100010709852022-06-300001070985cxw:CrowleyCountyCorrectionalFacilityMember2022-01-012022-12-310001070985cxw:TurleyResidentialCenterMember2022-12-310001070985us-gaap:Restric</w:t>
      </w:r>
      <w:r>
        <w:rPr>
          <w:rFonts w:eastAsia="Times New Roman"/>
          <w:vanish/>
        </w:rPr>
        <w:t>tedStockMemberus-gaap:SubsequentEventMembercxw:NonEmployeeDirectorsMember2023-02-012023-02-280001070985cxw:SeniorNotesEightPointTwoFivePercentDueTwentyTwentySixMember2021-04-012021-04-300001070985cxw:IceMember2020-10-012020-12-310001070985cxw:PropertiesSeg</w:t>
      </w:r>
      <w:r>
        <w:rPr>
          <w:rFonts w:eastAsia="Times New Roman"/>
          <w:vanish/>
        </w:rPr>
        <w:t>mentMember2021-12-310001070985us-gaap:CommonStockMember2022-12-310001070985cxw:SafetySegmentMember2022-01-012022-12-310001070985cxw:TermLoanBMember2021-12-310001070985cxw:IdleFacilitiesMember2021-12-310001070985cxw:NorthwestNewMexicoCorrectionalCenterMembe</w:t>
      </w:r>
      <w:r>
        <w:rPr>
          <w:rFonts w:eastAsia="Times New Roman"/>
          <w:vanish/>
        </w:rPr>
        <w:t>r2022-12-310001070985cxw:AdamsTransitionalCenterMember2022-01-012022-12-310001070985us-gaap:SalesRevenueNetMembercxw:StateCorrectionalAuthoritiesMemberus-gaap:GovernmentContractsConcentrationRiskMember2022-01-012022-12-310001070985cxw:JenkinsCorrectionalCe</w:t>
      </w:r>
      <w:r>
        <w:rPr>
          <w:rFonts w:eastAsia="Times New Roman"/>
          <w:vanish/>
        </w:rPr>
        <w:t>nterMember2022-12-310001070985cxw:RedRockCorrectionalCenterMember2022-12-310001070985cxw:BentCountyCorrectionalFacilityMember2022-01-012022-12-310001070985cxw:LaPalmaCorrectionalCenterMember2022-01-012022-12-3100010709852021-01-012021-12-310001070985srt:Mi</w:t>
      </w:r>
      <w:r>
        <w:rPr>
          <w:rFonts w:eastAsia="Times New Roman"/>
          <w:vanish/>
        </w:rPr>
        <w:t>nimumMembercxw:SeniorNotesFourPointSixTwoFivePercentageMember2021-04-140001070985cxw:SeniorNotesFivePointZeroPercentMember2021-04-142021-04-140001070985us-gaap:EmployeeStockOptionMember2021-01-012021-12-310001070985us-gaap:RestrictedStockMemberus-gaap:Gene</w:t>
      </w:r>
      <w:r>
        <w:rPr>
          <w:rFonts w:eastAsia="Times New Roman"/>
          <w:vanish/>
        </w:rPr>
        <w:t>ralAndAdministrativeExpenseMember2020-01-012020-12-3100010709852022-01-012022-12-310001070985us-gaap:OperatingSegmentsMember2022-01-012022-12-310001070985cxw:MineralWellsPreParoleTransferFacilityMember2022-12-310001070985srt:ExecutiveOfficerMembercxw:Defer</w:t>
      </w:r>
      <w:r>
        <w:rPr>
          <w:rFonts w:eastAsia="Times New Roman"/>
          <w:vanish/>
        </w:rPr>
        <w:t>redCompensationPlansMember2022-01-012022-12-310001070985cxw:LeeAdjustmentCenterMember2022-12-310001070985cxw:SeniorNotesEightPointTwoFivePercentDueTwentyTwentySixMember2021-09-290001070985cxw:CentennialCommunityTransitionCenterMember2022-01-012022-12-31000</w:t>
      </w:r>
      <w:r>
        <w:rPr>
          <w:rFonts w:eastAsia="Times New Roman"/>
          <w:vanish/>
        </w:rPr>
        <w:t>1070985cxw:IceMember2022-12-310001070985cxw:TermLoanADueInAprilTwentyTwentyThreeMember2021-01-012021-12-310001070985cxw:CentralArizonaFlorenceCorrectionalComplexMembersrt:MaximumMember2021-01-012021-12-310001070985cxw:CentennialCommunityTransitionCenterMem</w:t>
      </w:r>
      <w:r>
        <w:rPr>
          <w:rFonts w:eastAsia="Times New Roman"/>
          <w:vanish/>
        </w:rPr>
        <w:t>ber2022-12-310001070985cxw:NevadaSouthernDetentionCenterMember2022-12-310001070985us-gaap:AdditionalPaidInCapitalMember2019-12-310001070985us-gaap:AdditionalPaidInCapitalMember2022-01-012022-12-310001070985cxw:SeniorNotesFourPointSixTwoFivePercentageMember</w:t>
      </w:r>
      <w:r>
        <w:rPr>
          <w:rFonts w:eastAsia="Times New Roman"/>
          <w:vanish/>
        </w:rPr>
        <w:t>2021-04-140001070985cxw:CorpusChristiTransitionalCenterMember2022-12-310001070985cxw:OtherEmployeesMember2022-01-012022-12-310001070985cxw:KitCarsonCorrectionalCenterMember2022-12-310001070985cxw:GovernmentRealEstateSolutionsLLCMember2020-01-020001070985cx</w:t>
      </w:r>
      <w:r>
        <w:rPr>
          <w:rFonts w:eastAsia="Times New Roman"/>
          <w:vanish/>
        </w:rPr>
        <w:t>w:NonRecourseSeniorSecuredNotesMemberus-gaap:PrivatePlacementMember2018-04-192018-04-200001070985cxw:CreditAgreementMember2022-05-112022-05-120001070985cxw:GovernmentRealEstateSolutionsLLCMember2021-07-012021-09-300001070985cxw:NonEmployeeDirectorsMembercx</w:t>
      </w:r>
      <w:r>
        <w:rPr>
          <w:rFonts w:eastAsia="Times New Roman"/>
          <w:vanish/>
        </w:rPr>
        <w:t>w:DeferredCompensationPlansMember2022-01-012022-12-310001070985cxw:SeniorNotesFourPointSixTwoFivePercentageMember2022-06-300001070985cxw:SafetySegmentMember2021-01-012021-12-310001070985cxw:EloyDetentionCenterMember2022-01-012022-12-310001070985cxw:OtayMes</w:t>
      </w:r>
      <w:r>
        <w:rPr>
          <w:rFonts w:eastAsia="Times New Roman"/>
          <w:vanish/>
        </w:rPr>
        <w:t>aDetentionCenterMember2022-12-310001070985us-gaap:FurnitureAndFixturesMember2022-01-012022-12-310001070985cxw:WestTennesseeDetentionFacilityAndMidwestRegionalReceptionCenterMember2022-01-012022-03-310001070985cxw:CentralArizonaFlorenceCorrectionalComplexMe</w:t>
      </w:r>
      <w:r>
        <w:rPr>
          <w:rFonts w:eastAsia="Times New Roman"/>
          <w:vanish/>
        </w:rPr>
        <w:t>mbersrt:MinimumMember2021-01-012021-12-310001070985us-gaap:AdditionalPaidInCapitalMember2022-12-310001070985cxw:EmployeesAndNonEmployeeDirectorsMemberus-gaap:RestrictedStockMemberus-gaap:GeneralAndAdministrativeExpenseMember2022-01-012022-12-310001070985cx</w:t>
      </w:r>
      <w:r>
        <w:rPr>
          <w:rFonts w:eastAsia="Times New Roman"/>
          <w:vanish/>
        </w:rPr>
        <w:t>w:LansingCorrectionalCenterNonRecourseMortgageNoteFourPointFourThreePercentDueTwentyFortyMember2022-12-310001070985cxw:StewartDetentionCenterMember2022-01-012022-12-310001070985cxw:DeferredCompensationPlansMember2022-12-310001070985cxw:BridgeportPreParoleT</w:t>
      </w:r>
      <w:r>
        <w:rPr>
          <w:rFonts w:eastAsia="Times New Roman"/>
          <w:vanish/>
        </w:rPr>
        <w:t>ransferFacilityMember2022-01-012022-12-310001070985cxw:EdenDetentionCenterMember2022-12-310001070985srt:MaximumMembercxw:SeniorNotesFourPointSixTwoFivePercentageMember2021-04-140001070985cxw:PropertiesSegmentMember2020-01-012020-12-310001070985cxw:SeniorNo</w:t>
      </w:r>
      <w:r>
        <w:rPr>
          <w:rFonts w:eastAsia="Times New Roman"/>
          <w:vanish/>
        </w:rPr>
        <w:t>tesFourPointSixTwentyFivePercentDueTwentyTwentyThreeMember2021-12-310001070985us-gaap:CorporateAndOtherMember2021-12-310001070985cxw:TermLoanBDueInDecemberTwentyTwentyFourMember2021-10-012021-10-310001070985us-gaap:NoncontrollingInterestMember2021-01-01202</w:t>
      </w:r>
      <w:r>
        <w:rPr>
          <w:rFonts w:eastAsia="Times New Roman"/>
          <w:vanish/>
        </w:rPr>
        <w:t>1-12-310001070985cxw:OtayMesaDetentionCenterMembersrt:MaximumMember2021-01-012021-12-310001070985cxw:EmployeeRetentionCreditMember2022-01-012022-12-310001070985cxw:FederalBureauOfPrisonsMemberus-gaap:SalesRevenueNetMemberus-gaap:GovernmentContractsConcentr</w:t>
      </w:r>
      <w:r>
        <w:rPr>
          <w:rFonts w:eastAsia="Times New Roman"/>
          <w:vanish/>
        </w:rPr>
        <w:t>ationRiskMember2021-01-012021-12-310001070985cxw:SeniorNotesFourPointSixTwentyFivePercentDueTwentyTwentyThreeMember2022-01-012022-12-310001070985cxw:SeniorNotesFourPointSixTwentyFivePercentDueTwentyTwentyThreeMember2022-12-310001070985cxw:RothHallResidenti</w:t>
      </w:r>
      <w:r>
        <w:rPr>
          <w:rFonts w:eastAsia="Times New Roman"/>
          <w:vanish/>
        </w:rPr>
        <w:t>alReentryCenterMember2022-12-310001070985us-gaap:RetainedEarningsMember2019-12-310001070985us-gaap:AccountingStandardsUpdate201602Member2022-12-310001070985cxw:WestTennesseeDetentionFacilityMember2022-12-310001070985cxw:CreditAgreementMember2022-05-1200010</w:t>
      </w:r>
      <w:r>
        <w:rPr>
          <w:rFonts w:eastAsia="Times New Roman"/>
          <w:vanish/>
        </w:rPr>
        <w:t>70985cxw:JamesRiverResidentialCenterMember2022-01-012022-12-310001070985us-gaap:RestrictedStockMember2022-01-012022-12-310001070985cxw:SafetySegmentMembercxw:IdledNonCoreFacilitiesMember2022-01-012022-12-310001070985us-gaap:RestrictedStockMembercxw:Employe</w:t>
      </w:r>
      <w:r>
        <w:rPr>
          <w:rFonts w:eastAsia="Times New Roman"/>
          <w:vanish/>
        </w:rPr>
        <w:t>esAndNonEmployeeDirectorsMember2021-01-012021-12-310001070985cxw:SeniorNotesFourPointSeventyFivePercentDueTwentyTwentySevenMember2022-12-310001070985cxw:WhitevilleCorrectionalFacilityMember2022-12-310001070985us-gaap:AccountingStandardsUpdate201602Member20</w:t>
      </w:r>
      <w:r>
        <w:rPr>
          <w:rFonts w:eastAsia="Times New Roman"/>
          <w:vanish/>
        </w:rPr>
        <w:t>22-01-012022-12-310001070985us-gaap:OperatingSegmentsMembercxw:PropertiesSegmentMember2020-01-012020-12-310001070985cxw:OperatingPartnershipUnitMember2021-01-012021-12-3100010709852021-12-310001070985cxw:WebbCountyDetentionCenterMember2022-12-310001070985c</w:t>
      </w:r>
      <w:r>
        <w:rPr>
          <w:rFonts w:eastAsia="Times New Roman"/>
          <w:vanish/>
        </w:rPr>
        <w:t>xw:StocktonFemaleCommunityCorrectionsFacilityAndLongBeachCommunityCorrectionsCenterMember2022-07-012022-09-300001070985cxw:DallasTransitionalCenterMember2022-01-012022-12-310001070985us-gaap:CorporateAndOtherMember2020-01-012020-12-310001070985cxw:MarionAd</w:t>
      </w:r>
      <w:r>
        <w:rPr>
          <w:rFonts w:eastAsia="Times New Roman"/>
          <w:vanish/>
        </w:rPr>
        <w:t>justmentCenterMember2022-12-310001070985cxw:KansasDepartmentOfCorrectionsMember2022-01-012022-12-310001070985cxw:TrousdaleTurnerCorrectionalCenterMember2022-12-310001070985srt:MinimumMemberus-gaap:LandImprovementsMember2022-01-012022-12-310001070985cxw:Lan</w:t>
      </w:r>
      <w:r>
        <w:rPr>
          <w:rFonts w:eastAsia="Times New Roman"/>
          <w:vanish/>
        </w:rPr>
        <w:t>singCorrectionalFacilityMember2020-01-012020-12-310001070985cxw:IceMember2020-01-012020-12-310001070985us-gaap:MaterialReconcilingItemsMember2020-01-012020-12-310001070985cxw:OtayMesaDetentionCenterMembersrt:MinimumMember2021-01-012021-12-310001070985cxw:A</w:t>
      </w:r>
      <w:r>
        <w:rPr>
          <w:rFonts w:eastAsia="Times New Roman"/>
          <w:vanish/>
        </w:rPr>
        <w:t>ustinTransitionalCenterMember2022-12-310001070985cxw:SafetySegmentMembercxw:IdledNonCoreFacilitiesMember2022-12-310001070985cxw:OriginalSeniorNotesEightPointTwoFivePercentDueTwentyTwentySixMember2021-04-140001070985cxw:PreviousBankCreditFacilityMember2022-</w:t>
      </w:r>
      <w:r>
        <w:rPr>
          <w:rFonts w:eastAsia="Times New Roman"/>
          <w:vanish/>
        </w:rPr>
        <w:t>05-112022-05-120001070985srt:MaximumMemberus-gaap:LandImprovementsMember2022-01-012022-12-310001070985cxw:NortheastOhioCorrectionalCenterMember2022-01-012022-12-310001070985us-gaap:CommonStockMember2022-01-012022-12-310001070985cxw:SafetySegmentMember2021-</w:t>
      </w:r>
      <w:r>
        <w:rPr>
          <w:rFonts w:eastAsia="Times New Roman"/>
          <w:vanish/>
        </w:rPr>
        <w:t>12-310001070985us-gaap:RestrictedStockMember2022-12-310001070985cxw:DividendDeclaredTwoMember2020-01-012020-12-310001070985cxw:KansasDepartmentOfCorrectionsMember2021-01-012021-12-310001070985cxw:CaiBostonAvenueMember2022-12-310001070985cxw:SoutheastKentuc</w:t>
      </w:r>
      <w:r>
        <w:rPr>
          <w:rFonts w:eastAsia="Times New Roman"/>
          <w:vanish/>
        </w:rPr>
        <w:t>kyCorrectionalFacilityMember2022-12-310001070985cxw:DahliaFacilityMember2022-12-310001070985us-gaap:SubsequentEventMembercxw:SeniorNotesFourPointSixTwentyFivePercentDueTwentyTwentyThreeMember2023-02-010001070985us-gaap:RestrictedStockMembersrt:MaximumMembe</w:t>
      </w:r>
      <w:r>
        <w:rPr>
          <w:rFonts w:eastAsia="Times New Roman"/>
          <w:vanish/>
        </w:rPr>
        <w:t>r2022-01-012022-12-310001070985cxw:ServiceContractMember2021-12-310001070985cxw:TulsaTransitionalCenterMember2022-12-310001070985cxw:ThirdPartyLessorMemberus-gaap:AccountingStandardsUpdate201602Member2022-01-012022-12-310001070985cxw:NewRevolvingCreditFaci</w:t>
      </w:r>
      <w:r>
        <w:rPr>
          <w:rFonts w:eastAsia="Times New Roman"/>
          <w:vanish/>
        </w:rPr>
        <w:t>lityMember2022-01-012022-12-310001070985cxw:SeniorNotesEightPointTwoFivePercentDueTwentyTwentySixMember2021-12-310001070985cxw:CheyenneTransitionalCenterMember2022-12-310001070985us-gaap:RestrictedStockMemberus-gaap:SubsequentEventMember2023-02-012023-02-2</w:t>
      </w:r>
      <w:r>
        <w:rPr>
          <w:rFonts w:eastAsia="Times New Roman"/>
          <w:vanish/>
        </w:rPr>
        <w:t>80001070985us-gaap:MaterialReconcilingItemsMemberus-gaap:OtherIncomeMember2021-01-012021-12-310001070985cxw:DeferredCompensationPlansMember2021-01-012021-12-310001070985us-gaap:RevolvingCreditFacilityMember2022-05-112022-05-120001070985cxw:SaguaroCorrectio</w:t>
      </w:r>
      <w:r>
        <w:rPr>
          <w:rFonts w:eastAsia="Times New Roman"/>
          <w:vanish/>
        </w:rPr>
        <w:t>nalFacilityMember2022-01-012022-12-310001070985us-gaap:OperatingSegmentsMembercxw:PropertiesSegmentMember2022-01-012022-12-310001070985srt:MinimumMembercxw:EquipmentAndSoftwareMember2022-01-012022-12-310001070985us-gaap:ParentMembersrt:CumulativeEffectPeri</w:t>
      </w:r>
      <w:r>
        <w:rPr>
          <w:rFonts w:eastAsia="Times New Roman"/>
          <w:vanish/>
        </w:rPr>
        <w:t>odOfAdoptionAdjustmentMember2020-12-310001070985us-gaap:RetainedEarningsMembersrt:CumulativeEffectPeriodOfAdoptionAdjustmentMember2020-12-310001070985cxw:TallahatchieCountyCorrectionalFacilityMember2022-12-3100010709852023-02-130001070985cxw:LansingCorrect</w:t>
      </w:r>
      <w:r>
        <w:rPr>
          <w:rFonts w:eastAsia="Times New Roman"/>
          <w:vanish/>
        </w:rPr>
        <w:t>ionalCenterNonRecourseMortgageNoteFourPointFourThreePercentDueTwentyFortyMember2022-01-012022-12-310001070985cxw:ContractCostMember2022-12-310001070985us-gaap:CorporateAndOtherMember2021-01-012021-12-310001070985us-gaap:NoncontrollingInterestMember2020-01-</w:t>
      </w:r>
      <w:r>
        <w:rPr>
          <w:rFonts w:eastAsia="Times New Roman"/>
          <w:vanish/>
        </w:rPr>
        <w:t>012020-12-310001070985us-gaap:EmployeeStockOptionMember2022-01-012022-12-310001070985cxw:EmployeeMemberus-gaap:RestrictedStockMemberus-gaap:OperatingExpenseMember2022-01-012022-12-310001070985cxw:NonRecourseSeniorSecuredNotesMemberus-gaap:PrivatePlacementM</w:t>
      </w:r>
      <w:r>
        <w:rPr>
          <w:rFonts w:eastAsia="Times New Roman"/>
          <w:vanish/>
        </w:rPr>
        <w:t>ember2018-04-200001070985cxw:CommunitySegmentMember2021-01-012021-12-310001070985cxw:CentralArizonaFlorenceCorrectionalComplexMember2022-01-012022-12-310001070985cxw:AdamsCountyCorrectionalCenterMember2022-12-310001070985cxw:ArapahoeCommunityTreatmentCente</w:t>
      </w:r>
      <w:r>
        <w:rPr>
          <w:rFonts w:eastAsia="Times New Roman"/>
          <w:vanish/>
        </w:rPr>
        <w:t>rMember2022-01-012022-12-310001070985srt:MaximumMemberus-gaap:EmployeeStockOptionMember2022-01-012022-12-310001070985us-gaap:RetainedEarningsMember2022-12-310001070985cxw:NevadaSouthernDetentionCenterMember2022-01-012022-12-310001070985us-gaap:CommonStockM</w:t>
      </w:r>
      <w:r>
        <w:rPr>
          <w:rFonts w:eastAsia="Times New Roman"/>
          <w:vanish/>
        </w:rPr>
        <w:t>ember2020-12-310001070985cxw:AustinResidentialReEntryCenterMember2022-12-310001070985cxw:TermLoanADueInMayTwentyTwentySixMember2021-12-310001070985cxw:DiamondbackCorrectionalFacilityMember2022-01-012022-12-310001070985cxw:FederalCorrectionalAndDetentionAut</w:t>
      </w:r>
      <w:r>
        <w:rPr>
          <w:rFonts w:eastAsia="Times New Roman"/>
          <w:vanish/>
        </w:rPr>
        <w:t>horitiesMemberus-gaap:SalesRevenueNetMemberus-gaap:GovernmentContractsConcentrationRiskMember2022-01-012022-12-310001070985cxw:SoutheastKentuckyCorrectionalFacilityMember2022-01-012022-12-310001070985us-gaap:ParentMember2019-12-3100010709852020-01-022020-0</w:t>
      </w:r>
      <w:r>
        <w:rPr>
          <w:rFonts w:eastAsia="Times New Roman"/>
          <w:vanish/>
        </w:rPr>
        <w:t>1-020001070985us-gaap:RestrictedStockMembercxw:OfficersAndExecutiveOfficersMember2021-01-012021-12-310001070985cxw:PreviousBankCreditFacilityMembercxw:TermLoanADueInAprilTwentyTwentyThreeMember2022-05-120001070985cxw:TermLoanBDueInDecemberTwentyTwentyFourM</w:t>
      </w:r>
      <w:r>
        <w:rPr>
          <w:rFonts w:eastAsia="Times New Roman"/>
          <w:vanish/>
        </w:rPr>
        <w:t>emberus-gaap:BaseRateMember2019-12-182019-12-180001070985us-gaap:OperatingSegmentsMembercxw:SafetySegmentMember2022-01-012022-12-310001070985cxw:CommunitySegmentMember2020-01-012020-12-310001070985cxw:LeoChesneyCorrectionalCenterMember2022-01-012022-12-310</w:t>
      </w:r>
      <w:r>
        <w:rPr>
          <w:rFonts w:eastAsia="Times New Roman"/>
          <w:vanish/>
        </w:rPr>
        <w:t>001070985cxw:ResultingFromRevaluationOfDeferredTaxLiabilitiesMember2021-01-012021-12-310001070985cxw:PrairieCorrectionalFacilityMember2021-12-310001070985cxw:MarionAdjustmentCenterMember2022-01-012022-12-310001070985srt:CumulativeEffectPeriodOfAdoptionAdju</w:t>
      </w:r>
      <w:r>
        <w:rPr>
          <w:rFonts w:eastAsia="Times New Roman"/>
          <w:vanish/>
        </w:rPr>
        <w:t>stmentMember2020-12-310001070985cxw:RedRockCorrectionalCenterMember2022-01-012022-12-310001070985cxw:TDonHuttoResidentialCenterMember2022-01-012022-12-310001070985cxw:AdamsCountyCorrectionalCenterMember2022-01-012022-12-310001070985cxw:DeferredCompensation</w:t>
      </w:r>
      <w:r>
        <w:rPr>
          <w:rFonts w:eastAsia="Times New Roman"/>
          <w:vanish/>
        </w:rPr>
        <w:t>PlansMember2022-01-012022-12-310001070985cxw:AfterThreeYearsOfServiceMembercxw:DeferredCompensationPlansMember2022-01-012022-12-310001070985cxw:ElPasoTransitionalCenterMember2022-01-012022-12-310001070985us-gaap:RestrictedStockMember2021-01-012021-12-31000</w:t>
      </w:r>
      <w:r>
        <w:rPr>
          <w:rFonts w:eastAsia="Times New Roman"/>
          <w:vanish/>
        </w:rPr>
        <w:t>1070985cxw:OtayMesaDetentionCenterMember2022-01-012022-12-310001070985us-gaap:ParentMember2022-12-310001070985cxw:LansingCorrectionalFacilityMember2020-12-310001070985cxw:NewRevolvingCreditFacilityMember2021-12-310001070985us-gaap:ParentMember2022-01-01202</w:t>
      </w:r>
      <w:r>
        <w:rPr>
          <w:rFonts w:eastAsia="Times New Roman"/>
          <w:vanish/>
        </w:rPr>
        <w:t>2-12-310001070985cxw:InstallmentPaymentMembercxw:IceMember2014-12-310001070985cxw:NonRecourseSeniorSecuredNotesMemberus-gaap:PrivatePlacementMember2022-12-310001070985cxw:IceMember2021-12-310001070985cxw:CaiBostonAvenueMember2022-01-012022-12-310001070985c</w:t>
      </w:r>
      <w:r>
        <w:rPr>
          <w:rFonts w:eastAsia="Times New Roman"/>
          <w:vanish/>
        </w:rPr>
        <w:t>xw:CommerceTransitionalCenterMember2022-12-310001070985cxw:DiamondbackCorrectionalFacilityMember2021-12-310001070985us-gaap:RestrictedStockMemberus-gaap:SubsequentEventMembercxw:OfficersAndExecutiveOfficersMember2023-02-012023-02-280001070985us-gaap:Restri</w:t>
      </w:r>
      <w:r>
        <w:rPr>
          <w:rFonts w:eastAsia="Times New Roman"/>
          <w:vanish/>
        </w:rPr>
        <w:t>ctedStockUnitsRSUMember2022-01-012022-12-310001070985cxw:PropertiesSegmentMember2022-01-012022-12-310001070985cxw:MineralWellsPreParoleTransferFacilityMember2022-01-012022-12-310001070985srt:MinimumMembercxw:SouthTexasFamilyResidentialCenterMember2014-09-0</w:t>
      </w:r>
      <w:r>
        <w:rPr>
          <w:rFonts w:eastAsia="Times New Roman"/>
          <w:vanish/>
        </w:rPr>
        <w:t>12014-09-300001070985cxw:CaliforniaCityCorrectionalCenterMember2022-01-012022-12-310001070985cxw:TulsaTransitionalCenterMember2022-01-012022-12-31xbrli:purecxw:Facilitycxw:Segmentutr:sqftxbrli:sharescxw:Bedcxw:CompensationPlancxw:Propertycxw:Installmentiso</w:t>
      </w:r>
      <w:r>
        <w:rPr>
          <w:rFonts w:eastAsia="Times New Roman"/>
          <w:vanish/>
        </w:rPr>
        <w:t>4217:USDiso4217:USDxbrli:sharescxw:Properties</w: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pBdr>
          <w:bottom w:val="double" w:sz="6" w:space="1" w:color="auto"/>
        </w:pBdr>
        <w:spacing w:before="0" w:beforeAutospacing="0" w:after="0" w:afterAutospacing="0"/>
        <w:jc w:val="right"/>
        <w:rPr>
          <w:sz w:val="20"/>
          <w:szCs w:val="20"/>
        </w:rPr>
      </w:pPr>
      <w:r>
        <w:rPr>
          <w:sz w:val="2"/>
          <w:szCs w:val="2"/>
        </w:rPr>
        <w:t> </w:t>
      </w:r>
    </w:p>
    <w:p w:rsidR="00000000" w:rsidRDefault="006D723D">
      <w:pPr>
        <w:pStyle w:val="a3"/>
        <w:spacing w:before="60" w:beforeAutospacing="0" w:after="0" w:afterAutospacing="0"/>
        <w:jc w:val="center"/>
        <w:rPr>
          <w:sz w:val="20"/>
          <w:szCs w:val="20"/>
        </w:rPr>
      </w:pPr>
      <w:r>
        <w:rPr>
          <w:b/>
          <w:bCs/>
          <w:sz w:val="30"/>
          <w:szCs w:val="30"/>
        </w:rPr>
        <w:t>UNITED STATE</w:t>
      </w:r>
      <w:r>
        <w:rPr>
          <w:b/>
          <w:bCs/>
          <w:sz w:val="30"/>
          <w:szCs w:val="30"/>
        </w:rPr>
        <w:t>S</w:t>
      </w:r>
    </w:p>
    <w:p w:rsidR="00000000" w:rsidRDefault="006D723D">
      <w:pPr>
        <w:pStyle w:val="a3"/>
        <w:spacing w:before="0" w:beforeAutospacing="0" w:after="0" w:afterAutospacing="0"/>
        <w:jc w:val="center"/>
        <w:rPr>
          <w:sz w:val="20"/>
          <w:szCs w:val="20"/>
        </w:rPr>
      </w:pPr>
      <w:r>
        <w:rPr>
          <w:b/>
          <w:bCs/>
          <w:sz w:val="30"/>
          <w:szCs w:val="30"/>
        </w:rPr>
        <w:t>SECURITIES AND EXCHANGE COMMISSIO</w:t>
      </w:r>
      <w:r>
        <w:rPr>
          <w:b/>
          <w:bCs/>
          <w:sz w:val="30"/>
          <w:szCs w:val="30"/>
        </w:rPr>
        <w:t>N</w:t>
      </w:r>
    </w:p>
    <w:p w:rsidR="00000000" w:rsidRDefault="006D723D">
      <w:pPr>
        <w:pStyle w:val="a3"/>
        <w:spacing w:before="0" w:beforeAutospacing="0" w:after="0" w:afterAutospacing="0"/>
        <w:jc w:val="center"/>
        <w:rPr>
          <w:sz w:val="20"/>
          <w:szCs w:val="20"/>
        </w:rPr>
      </w:pPr>
      <w:r>
        <w:rPr>
          <w:b/>
          <w:bCs/>
          <w:sz w:val="18"/>
          <w:szCs w:val="18"/>
        </w:rPr>
        <w:t>Washington, D.C. 2054</w:t>
      </w:r>
      <w:r>
        <w:rPr>
          <w:b/>
          <w:bCs/>
          <w:sz w:val="18"/>
          <w:szCs w:val="18"/>
        </w:rPr>
        <w:t>9</w:t>
      </w:r>
    </w:p>
    <w:p w:rsidR="00000000" w:rsidRDefault="006D723D">
      <w:pPr>
        <w:pStyle w:val="a3"/>
        <w:pBdr>
          <w:bottom w:val="single" w:sz="8" w:space="1" w:color="auto"/>
        </w:pBdr>
        <w:spacing w:before="0" w:beforeAutospacing="0" w:after="0" w:afterAutospacing="0"/>
        <w:ind w:left="3928" w:right="3928"/>
        <w:jc w:val="center"/>
        <w:rPr>
          <w:sz w:val="20"/>
          <w:szCs w:val="20"/>
        </w:rPr>
      </w:pPr>
      <w:r>
        <w:rPr>
          <w:sz w:val="6"/>
          <w:szCs w:val="6"/>
        </w:rPr>
        <w:t> </w:t>
      </w:r>
    </w:p>
    <w:p w:rsidR="00000000" w:rsidRDefault="006D723D">
      <w:pPr>
        <w:pStyle w:val="a3"/>
        <w:spacing w:before="20" w:beforeAutospacing="0" w:after="0" w:afterAutospacing="0"/>
        <w:jc w:val="center"/>
        <w:rPr>
          <w:sz w:val="20"/>
          <w:szCs w:val="20"/>
        </w:rPr>
      </w:pPr>
      <w:r>
        <w:rPr>
          <w:b/>
          <w:bCs/>
          <w:sz w:val="30"/>
          <w:szCs w:val="30"/>
        </w:rPr>
        <w:t>FORM</w:t>
      </w:r>
      <w:r>
        <w:rPr>
          <w:b/>
          <w:bCs/>
          <w:sz w:val="30"/>
          <w:szCs w:val="30"/>
        </w:rPr>
        <w:t xml:space="preserve"> </w:t>
      </w:r>
      <w:r>
        <w:rPr>
          <w:b/>
          <w:bCs/>
          <w:sz w:val="30"/>
          <w:szCs w:val="30"/>
        </w:rPr>
        <w:t>10-</w:t>
      </w:r>
      <w:r>
        <w:rPr>
          <w:b/>
          <w:bCs/>
          <w:sz w:val="30"/>
          <w:szCs w:val="30"/>
        </w:rPr>
        <w:t>K</w:t>
      </w:r>
    </w:p>
    <w:p w:rsidR="00000000" w:rsidRDefault="006D723D">
      <w:pPr>
        <w:pStyle w:val="a3"/>
        <w:pBdr>
          <w:bottom w:val="single" w:sz="8" w:space="1" w:color="auto"/>
        </w:pBdr>
        <w:spacing w:before="0" w:beforeAutospacing="0" w:after="0" w:afterAutospacing="0"/>
        <w:ind w:left="3928" w:right="3928"/>
        <w:jc w:val="center"/>
        <w:rPr>
          <w:sz w:val="20"/>
          <w:szCs w:val="20"/>
        </w:rPr>
      </w:pPr>
      <w:r>
        <w:rPr>
          <w:sz w:val="6"/>
          <w:szCs w:val="6"/>
        </w:rPr>
        <w:t> </w:t>
      </w:r>
    </w:p>
    <w:p w:rsidR="00000000" w:rsidRDefault="006D723D">
      <w:pPr>
        <w:pStyle w:val="a3"/>
        <w:spacing w:before="20" w:beforeAutospacing="0" w:after="0" w:afterAutospacing="0"/>
        <w:ind w:hanging="581"/>
        <w:jc w:val="both"/>
        <w:rPr>
          <w:sz w:val="20"/>
          <w:szCs w:val="20"/>
        </w:rPr>
      </w:pPr>
      <w:r>
        <w:rPr>
          <w:rFonts w:ascii="Segoe UI Symbol" w:hAnsi="Segoe UI Symbol" w:cs="Segoe UI Symbol"/>
          <w:b/>
          <w:bCs/>
          <w:sz w:val="22"/>
          <w:szCs w:val="22"/>
        </w:rPr>
        <w:t>☒</w:t>
      </w:r>
      <w:r>
        <w:rPr>
          <w:b/>
          <w:bCs/>
          <w:sz w:val="22"/>
          <w:szCs w:val="22"/>
        </w:rPr>
        <w:t xml:space="preserve"> ANNUAL REPORT PURSUANT TO SECTION 13 OR 15(d) OF THE SECURITIES EXCHANGE ACT OF 193</w:t>
      </w:r>
      <w:r>
        <w:rPr>
          <w:b/>
          <w:bCs/>
          <w:sz w:val="22"/>
          <w:szCs w:val="22"/>
        </w:rPr>
        <w:t>4</w:t>
      </w:r>
      <w:r>
        <w:rPr>
          <w:b/>
          <w:bCs/>
          <w:sz w:val="22"/>
          <w:szCs w:val="22"/>
        </w:rPr>
        <w:t xml:space="preserve"> </w:t>
      </w:r>
    </w:p>
    <w:p w:rsidR="00000000" w:rsidRDefault="006D723D">
      <w:pPr>
        <w:pStyle w:val="a3"/>
        <w:spacing w:before="20" w:beforeAutospacing="0" w:after="0" w:afterAutospacing="0"/>
        <w:jc w:val="center"/>
        <w:rPr>
          <w:sz w:val="20"/>
          <w:szCs w:val="20"/>
        </w:rPr>
      </w:pPr>
      <w:r>
        <w:rPr>
          <w:b/>
          <w:bCs/>
          <w:sz w:val="17"/>
          <w:szCs w:val="17"/>
        </w:rPr>
        <w:t>For the fiscal year ended</w:t>
      </w:r>
      <w:r>
        <w:rPr>
          <w:b/>
          <w:bCs/>
          <w:sz w:val="17"/>
          <w:szCs w:val="17"/>
        </w:rPr>
        <w:t xml:space="preserve"> </w:t>
      </w:r>
      <w:r>
        <w:rPr>
          <w:b/>
          <w:bCs/>
          <w:sz w:val="17"/>
          <w:szCs w:val="17"/>
        </w:rPr>
        <w:t>Decemb</w:t>
      </w:r>
      <w:r>
        <w:rPr>
          <w:b/>
          <w:bCs/>
          <w:sz w:val="17"/>
          <w:szCs w:val="17"/>
        </w:rPr>
        <w:t>er 31,</w:t>
      </w:r>
      <w:r>
        <w:rPr>
          <w:b/>
          <w:bCs/>
          <w:sz w:val="17"/>
          <w:szCs w:val="17"/>
        </w:rPr>
        <w:t xml:space="preserve"> </w:t>
      </w:r>
      <w:r>
        <w:rPr>
          <w:b/>
          <w:bCs/>
          <w:sz w:val="17"/>
          <w:szCs w:val="17"/>
        </w:rPr>
        <w:t>202</w:t>
      </w:r>
      <w:r>
        <w:rPr>
          <w:b/>
          <w:bCs/>
          <w:sz w:val="17"/>
          <w:szCs w:val="17"/>
        </w:rPr>
        <w:t>2</w:t>
      </w:r>
    </w:p>
    <w:p w:rsidR="00000000" w:rsidRDefault="006D723D">
      <w:pPr>
        <w:pStyle w:val="a3"/>
        <w:spacing w:before="60" w:beforeAutospacing="0" w:after="0" w:afterAutospacing="0"/>
        <w:jc w:val="center"/>
        <w:rPr>
          <w:sz w:val="20"/>
          <w:szCs w:val="20"/>
        </w:rPr>
      </w:pPr>
      <w:r>
        <w:rPr>
          <w:b/>
          <w:bCs/>
          <w:sz w:val="17"/>
          <w:szCs w:val="17"/>
        </w:rPr>
        <w:t>O</w:t>
      </w:r>
      <w:r>
        <w:rPr>
          <w:b/>
          <w:bCs/>
          <w:sz w:val="17"/>
          <w:szCs w:val="17"/>
        </w:rPr>
        <w:t>R</w:t>
      </w:r>
    </w:p>
    <w:p w:rsidR="00000000" w:rsidRDefault="006D723D">
      <w:pPr>
        <w:pStyle w:val="a3"/>
        <w:spacing w:before="0" w:beforeAutospacing="0" w:after="0" w:afterAutospacing="0"/>
        <w:ind w:hanging="581"/>
        <w:jc w:val="both"/>
        <w:rPr>
          <w:sz w:val="20"/>
          <w:szCs w:val="20"/>
        </w:rPr>
      </w:pPr>
      <w:r>
        <w:rPr>
          <w:rFonts w:ascii="Segoe UI Symbol" w:hAnsi="Segoe UI Symbol" w:cs="Segoe UI Symbol"/>
          <w:b/>
          <w:bCs/>
          <w:sz w:val="22"/>
          <w:szCs w:val="22"/>
        </w:rPr>
        <w:t>☐</w:t>
      </w:r>
      <w:r>
        <w:rPr>
          <w:b/>
          <w:bCs/>
          <w:sz w:val="22"/>
          <w:szCs w:val="22"/>
        </w:rPr>
        <w:t xml:space="preserve"> TRANSITION REPORT PURSUANT TO SECTION 13 OR 15(d) OF THE SECURITIES EXCHANGE ACT OF 193</w:t>
      </w:r>
      <w:r>
        <w:rPr>
          <w:b/>
          <w:bCs/>
          <w:sz w:val="22"/>
          <w:szCs w:val="22"/>
        </w:rPr>
        <w:t>4</w:t>
      </w:r>
      <w:r>
        <w:rPr>
          <w:b/>
          <w:bCs/>
          <w:sz w:val="22"/>
          <w:szCs w:val="22"/>
        </w:rPr>
        <w:t xml:space="preserve"> </w:t>
      </w:r>
    </w:p>
    <w:p w:rsidR="00000000" w:rsidRDefault="006D723D">
      <w:pPr>
        <w:pStyle w:val="a3"/>
        <w:spacing w:before="0" w:beforeAutospacing="0" w:after="0" w:afterAutospacing="0"/>
        <w:jc w:val="center"/>
        <w:rPr>
          <w:sz w:val="20"/>
          <w:szCs w:val="20"/>
        </w:rPr>
      </w:pPr>
      <w:r>
        <w:rPr>
          <w:b/>
          <w:bCs/>
          <w:sz w:val="17"/>
          <w:szCs w:val="17"/>
        </w:rPr>
        <w:t>Commission File Number</w:t>
      </w:r>
      <w:r>
        <w:rPr>
          <w:b/>
          <w:bCs/>
          <w:sz w:val="17"/>
          <w:szCs w:val="17"/>
        </w:rPr>
        <w:t xml:space="preserve"> </w:t>
      </w:r>
      <w:r>
        <w:rPr>
          <w:b/>
          <w:bCs/>
          <w:sz w:val="17"/>
          <w:szCs w:val="17"/>
        </w:rPr>
        <w:t>001-1610</w:t>
      </w:r>
      <w:r>
        <w:rPr>
          <w:b/>
          <w:bCs/>
          <w:sz w:val="17"/>
          <w:szCs w:val="17"/>
        </w:rPr>
        <w:t>9</w:t>
      </w:r>
    </w:p>
    <w:p w:rsidR="00000000" w:rsidRDefault="006D723D">
      <w:pPr>
        <w:pStyle w:val="a3"/>
        <w:pBdr>
          <w:bottom w:val="single" w:sz="8" w:space="1" w:color="auto"/>
        </w:pBdr>
        <w:spacing w:before="0" w:beforeAutospacing="0" w:after="0" w:afterAutospacing="0"/>
        <w:ind w:left="3928" w:right="3928"/>
        <w:jc w:val="center"/>
        <w:rPr>
          <w:sz w:val="20"/>
          <w:szCs w:val="20"/>
        </w:rPr>
      </w:pPr>
      <w:r>
        <w:rPr>
          <w:sz w:val="6"/>
          <w:szCs w:val="6"/>
        </w:rPr>
        <w:t> </w:t>
      </w:r>
    </w:p>
    <w:p w:rsidR="00000000" w:rsidRDefault="006D723D">
      <w:pPr>
        <w:pStyle w:val="a3"/>
        <w:spacing w:before="40" w:beforeAutospacing="0" w:after="0" w:afterAutospacing="0"/>
        <w:jc w:val="center"/>
        <w:rPr>
          <w:sz w:val="20"/>
          <w:szCs w:val="20"/>
        </w:rPr>
      </w:pPr>
      <w:r>
        <w:rPr>
          <w:b/>
          <w:bCs/>
          <w:sz w:val="36"/>
          <w:szCs w:val="36"/>
        </w:rPr>
        <w:t>CORECIVIC, INC</w:t>
      </w:r>
      <w:r>
        <w:rPr>
          <w:b/>
          <w:bCs/>
          <w:sz w:val="36"/>
          <w:szCs w:val="36"/>
        </w:rPr>
        <w:t>.</w:t>
      </w:r>
    </w:p>
    <w:p w:rsidR="00000000" w:rsidRDefault="006D723D">
      <w:pPr>
        <w:pStyle w:val="a3"/>
        <w:spacing w:before="0" w:beforeAutospacing="0" w:after="0" w:afterAutospacing="0"/>
        <w:jc w:val="center"/>
        <w:rPr>
          <w:sz w:val="20"/>
          <w:szCs w:val="20"/>
        </w:rPr>
      </w:pPr>
      <w:r>
        <w:rPr>
          <w:b/>
          <w:bCs/>
          <w:sz w:val="17"/>
          <w:szCs w:val="17"/>
        </w:rPr>
        <w:t>(Exact name of registrant as specified in its charter</w:t>
      </w:r>
      <w:r>
        <w:rPr>
          <w:b/>
          <w:bCs/>
          <w:sz w:val="17"/>
          <w:szCs w:val="17"/>
        </w:rPr>
        <w:t>)</w:t>
      </w:r>
    </w:p>
    <w:p w:rsidR="00000000" w:rsidRDefault="006D723D">
      <w:pPr>
        <w:pStyle w:val="a3"/>
        <w:pBdr>
          <w:bottom w:val="single" w:sz="8" w:space="1" w:color="auto"/>
        </w:pBdr>
        <w:spacing w:before="0" w:beforeAutospacing="0" w:after="0" w:afterAutospacing="0"/>
        <w:ind w:left="3928" w:right="3928"/>
        <w:jc w:val="center"/>
        <w:rPr>
          <w:sz w:val="20"/>
          <w:szCs w:val="20"/>
        </w:rPr>
      </w:pPr>
      <w:r>
        <w:rPr>
          <w:sz w:val="6"/>
          <w:szCs w:val="6"/>
        </w:rPr>
        <w:t> </w:t>
      </w:r>
    </w:p>
    <w:p w:rsidR="00000000" w:rsidRDefault="006D723D">
      <w:pPr>
        <w:pStyle w:val="a3"/>
        <w:spacing w:before="0" w:beforeAutospacing="0" w:after="0" w:afterAutospacing="0"/>
        <w:jc w:val="both"/>
        <w:rPr>
          <w:sz w:val="20"/>
          <w:szCs w:val="20"/>
        </w:rPr>
      </w:pPr>
      <w:r>
        <w:rPr>
          <w:sz w:val="6"/>
          <w:szCs w:val="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vAlign w:val="center"/>
            <w:hideMark/>
          </w:tcPr>
          <w:p w:rsidR="00000000" w:rsidRDefault="006D723D">
            <w:pPr>
              <w:rPr>
                <w:sz w:val="20"/>
                <w:szCs w:val="20"/>
              </w:rPr>
            </w:pPr>
          </w:p>
        </w:tc>
        <w:tc>
          <w:tcPr>
            <w:tcW w:w="2500" w:type="pct"/>
            <w:vAlign w:val="center"/>
            <w:hideMark/>
          </w:tcPr>
          <w:p w:rsidR="00000000" w:rsidRDefault="006D723D">
            <w:pPr>
              <w:rPr>
                <w:rFonts w:eastAsia="Times New Roman"/>
                <w:sz w:val="20"/>
                <w:szCs w:val="20"/>
              </w:rPr>
            </w:pP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7"/>
                <w:szCs w:val="17"/>
              </w:rPr>
            </w:pPr>
            <w:r>
              <w:rPr>
                <w:b/>
                <w:bCs/>
                <w:sz w:val="17"/>
                <w:szCs w:val="17"/>
              </w:rPr>
              <w:t>MARYLAN</w:t>
            </w:r>
            <w:r>
              <w:rPr>
                <w:b/>
                <w:bCs/>
                <w:sz w:val="17"/>
                <w:szCs w:val="17"/>
              </w:rPr>
              <w:t>D</w:t>
            </w:r>
          </w:p>
        </w:tc>
        <w:tc>
          <w:tcPr>
            <w:tcW w:w="0" w:type="auto"/>
            <w:vAlign w:val="bottom"/>
            <w:hideMark/>
          </w:tcPr>
          <w:p w:rsidR="00000000" w:rsidRDefault="006D723D">
            <w:pPr>
              <w:pStyle w:val="a3"/>
              <w:spacing w:before="0" w:beforeAutospacing="0" w:after="0" w:afterAutospacing="0"/>
              <w:jc w:val="center"/>
              <w:rPr>
                <w:sz w:val="20"/>
                <w:szCs w:val="20"/>
              </w:rPr>
            </w:pPr>
            <w:r>
              <w:rPr>
                <w:b/>
                <w:bCs/>
                <w:sz w:val="17"/>
                <w:szCs w:val="17"/>
              </w:rPr>
              <w:t>62-176387</w:t>
            </w:r>
            <w:r>
              <w:rPr>
                <w:b/>
                <w:bCs/>
                <w:sz w:val="17"/>
                <w:szCs w:val="17"/>
              </w:rPr>
              <w:t>5</w:t>
            </w:r>
          </w:p>
        </w:tc>
      </w:tr>
      <w:tr w:rsidR="00000000">
        <w:trPr>
          <w:trHeight w:val="140"/>
          <w:tblCellSpacing w:w="15" w:type="dxa"/>
        </w:trPr>
        <w:tc>
          <w:tcPr>
            <w:tcW w:w="0" w:type="auto"/>
            <w:vAlign w:val="bottom"/>
            <w:hideMark/>
          </w:tcPr>
          <w:p w:rsidR="00000000" w:rsidRDefault="006D723D">
            <w:pPr>
              <w:pStyle w:val="a3"/>
              <w:spacing w:before="0" w:beforeAutospacing="0" w:after="0" w:afterAutospacing="0"/>
              <w:jc w:val="center"/>
              <w:rPr>
                <w:sz w:val="14"/>
                <w:szCs w:val="14"/>
              </w:rPr>
            </w:pPr>
            <w:r>
              <w:rPr>
                <w:b/>
                <w:bCs/>
                <w:sz w:val="14"/>
                <w:szCs w:val="14"/>
              </w:rPr>
              <w:t>(State or other jurisdiction o</w:t>
            </w:r>
            <w:r>
              <w:rPr>
                <w:b/>
                <w:bCs/>
                <w:sz w:val="14"/>
                <w:szCs w:val="14"/>
              </w:rPr>
              <w:t>f</w:t>
            </w:r>
          </w:p>
          <w:p w:rsidR="00000000" w:rsidRDefault="006D723D">
            <w:pPr>
              <w:pStyle w:val="a3"/>
              <w:spacing w:before="0" w:beforeAutospacing="0" w:after="15" w:afterAutospacing="0"/>
              <w:jc w:val="center"/>
              <w:rPr>
                <w:sz w:val="14"/>
                <w:szCs w:val="14"/>
              </w:rPr>
            </w:pPr>
            <w:r>
              <w:rPr>
                <w:b/>
                <w:bCs/>
                <w:sz w:val="14"/>
                <w:szCs w:val="14"/>
              </w:rPr>
              <w:t>incorporation or organization</w:t>
            </w:r>
            <w:r>
              <w:rPr>
                <w:b/>
                <w:bCs/>
                <w:sz w:val="14"/>
                <w:szCs w:val="14"/>
              </w:rPr>
              <w:t>)</w:t>
            </w:r>
          </w:p>
        </w:tc>
        <w:tc>
          <w:tcPr>
            <w:tcW w:w="0" w:type="auto"/>
            <w:vAlign w:val="bottom"/>
            <w:hideMark/>
          </w:tcPr>
          <w:p w:rsidR="00000000" w:rsidRDefault="006D723D">
            <w:pPr>
              <w:pStyle w:val="a3"/>
              <w:spacing w:before="0" w:beforeAutospacing="0" w:after="0" w:afterAutospacing="0"/>
              <w:jc w:val="center"/>
              <w:rPr>
                <w:sz w:val="14"/>
                <w:szCs w:val="14"/>
              </w:rPr>
            </w:pPr>
            <w:r>
              <w:rPr>
                <w:b/>
                <w:bCs/>
                <w:sz w:val="14"/>
                <w:szCs w:val="14"/>
              </w:rPr>
              <w:t>(I.R.S. Employe</w:t>
            </w:r>
            <w:r>
              <w:rPr>
                <w:b/>
                <w:bCs/>
                <w:sz w:val="14"/>
                <w:szCs w:val="14"/>
              </w:rPr>
              <w:t>r</w:t>
            </w:r>
          </w:p>
          <w:p w:rsidR="00000000" w:rsidRDefault="006D723D">
            <w:pPr>
              <w:pStyle w:val="a3"/>
              <w:spacing w:before="0" w:beforeAutospacing="0" w:after="0" w:afterAutospacing="0"/>
              <w:jc w:val="center"/>
              <w:rPr>
                <w:sz w:val="14"/>
                <w:szCs w:val="14"/>
              </w:rPr>
            </w:pPr>
            <w:r>
              <w:rPr>
                <w:b/>
                <w:bCs/>
                <w:sz w:val="14"/>
                <w:szCs w:val="14"/>
              </w:rPr>
              <w:t>Identification No.</w:t>
            </w:r>
            <w:r>
              <w:rPr>
                <w:b/>
                <w:bCs/>
                <w:sz w:val="14"/>
                <w:szCs w:val="14"/>
              </w:rPr>
              <w:t>)</w:t>
            </w:r>
          </w:p>
        </w:tc>
      </w:tr>
      <w:tr w:rsidR="00000000">
        <w:trPr>
          <w:tblCellSpacing w:w="15" w:type="dxa"/>
        </w:trPr>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7"/>
                <w:szCs w:val="17"/>
              </w:rPr>
            </w:pPr>
            <w:r>
              <w:rPr>
                <w:b/>
                <w:bCs/>
                <w:sz w:val="17"/>
                <w:szCs w:val="17"/>
              </w:rPr>
              <w:t>550</w:t>
            </w:r>
            <w:r>
              <w:rPr>
                <w:b/>
                <w:bCs/>
                <w:sz w:val="17"/>
                <w:szCs w:val="17"/>
              </w:rPr>
              <w:t>1</w:t>
            </w:r>
            <w:r>
              <w:rPr>
                <w:b/>
                <w:bCs/>
                <w:caps/>
                <w:sz w:val="17"/>
                <w:szCs w:val="17"/>
              </w:rPr>
              <w:t xml:space="preserve"> </w:t>
            </w:r>
            <w:r>
              <w:rPr>
                <w:b/>
                <w:bCs/>
                <w:sz w:val="17"/>
                <w:szCs w:val="17"/>
              </w:rPr>
              <w:t>VIRGINIA WA</w:t>
            </w:r>
            <w:r>
              <w:rPr>
                <w:b/>
                <w:bCs/>
                <w:sz w:val="17"/>
                <w:szCs w:val="17"/>
              </w:rPr>
              <w:t>Y</w:t>
            </w:r>
          </w:p>
          <w:p w:rsidR="00000000" w:rsidRDefault="006D723D">
            <w:pPr>
              <w:pStyle w:val="a3"/>
              <w:spacing w:before="0" w:beforeAutospacing="0" w:after="0" w:afterAutospacing="0"/>
              <w:jc w:val="center"/>
              <w:rPr>
                <w:sz w:val="20"/>
                <w:szCs w:val="20"/>
              </w:rPr>
            </w:pPr>
            <w:r>
              <w:rPr>
                <w:b/>
                <w:bCs/>
                <w:sz w:val="17"/>
                <w:szCs w:val="17"/>
              </w:rPr>
              <w:t>BRENTWOO</w:t>
            </w:r>
            <w:r>
              <w:rPr>
                <w:b/>
                <w:bCs/>
                <w:sz w:val="17"/>
                <w:szCs w:val="17"/>
              </w:rPr>
              <w:t>D</w:t>
            </w:r>
            <w:r>
              <w:rPr>
                <w:b/>
                <w:bCs/>
                <w:sz w:val="17"/>
                <w:szCs w:val="17"/>
              </w:rPr>
              <w:t>,</w:t>
            </w:r>
            <w:r>
              <w:rPr>
                <w:b/>
                <w:bCs/>
                <w:sz w:val="17"/>
                <w:szCs w:val="17"/>
              </w:rPr>
              <w:t xml:space="preserve"> </w:t>
            </w:r>
            <w:r>
              <w:rPr>
                <w:b/>
                <w:bCs/>
                <w:caps/>
                <w:sz w:val="17"/>
                <w:szCs w:val="17"/>
              </w:rPr>
              <w:t>tennesse</w:t>
            </w:r>
            <w:r>
              <w:rPr>
                <w:b/>
                <w:bCs/>
                <w:caps/>
                <w:sz w:val="17"/>
                <w:szCs w:val="17"/>
              </w:rPr>
              <w:t>e</w:t>
            </w:r>
          </w:p>
        </w:tc>
        <w:tc>
          <w:tcPr>
            <w:tcW w:w="0" w:type="auto"/>
            <w:vAlign w:val="bottom"/>
            <w:hideMark/>
          </w:tcPr>
          <w:p w:rsidR="00000000" w:rsidRDefault="006D723D">
            <w:pPr>
              <w:pStyle w:val="a3"/>
              <w:spacing w:before="0" w:beforeAutospacing="0" w:after="0" w:afterAutospacing="0"/>
              <w:jc w:val="center"/>
              <w:rPr>
                <w:sz w:val="20"/>
                <w:szCs w:val="20"/>
              </w:rPr>
            </w:pPr>
            <w:r>
              <w:rPr>
                <w:b/>
                <w:bCs/>
                <w:sz w:val="17"/>
                <w:szCs w:val="17"/>
              </w:rPr>
              <w:t>3702</w:t>
            </w:r>
            <w:r>
              <w:rPr>
                <w:b/>
                <w:bCs/>
                <w:sz w:val="17"/>
                <w:szCs w:val="17"/>
              </w:rPr>
              <w:t>7</w:t>
            </w:r>
          </w:p>
        </w:tc>
      </w:tr>
      <w:tr w:rsidR="00000000">
        <w:trPr>
          <w:trHeight w:val="140"/>
          <w:tblCellSpacing w:w="15" w:type="dxa"/>
        </w:trPr>
        <w:tc>
          <w:tcPr>
            <w:tcW w:w="0" w:type="auto"/>
            <w:vAlign w:val="bottom"/>
            <w:hideMark/>
          </w:tcPr>
          <w:p w:rsidR="00000000" w:rsidRDefault="006D723D">
            <w:pPr>
              <w:pStyle w:val="a3"/>
              <w:spacing w:before="0" w:beforeAutospacing="0" w:after="0" w:afterAutospacing="0"/>
              <w:jc w:val="center"/>
              <w:rPr>
                <w:sz w:val="14"/>
                <w:szCs w:val="14"/>
              </w:rPr>
            </w:pPr>
            <w:r>
              <w:rPr>
                <w:b/>
                <w:bCs/>
                <w:sz w:val="14"/>
                <w:szCs w:val="14"/>
              </w:rPr>
              <w:t>(Address of principal executive offices</w:t>
            </w:r>
            <w:r>
              <w:rPr>
                <w:b/>
                <w:bCs/>
                <w:sz w:val="14"/>
                <w:szCs w:val="14"/>
              </w:rPr>
              <w:t>)</w:t>
            </w:r>
          </w:p>
        </w:tc>
        <w:tc>
          <w:tcPr>
            <w:tcW w:w="0" w:type="auto"/>
            <w:vAlign w:val="bottom"/>
            <w:hideMark/>
          </w:tcPr>
          <w:p w:rsidR="00000000" w:rsidRDefault="006D723D">
            <w:pPr>
              <w:pStyle w:val="a3"/>
              <w:spacing w:before="0" w:beforeAutospacing="0" w:after="0" w:afterAutospacing="0"/>
              <w:jc w:val="center"/>
              <w:rPr>
                <w:sz w:val="14"/>
                <w:szCs w:val="14"/>
              </w:rPr>
            </w:pPr>
            <w:r>
              <w:rPr>
                <w:b/>
                <w:bCs/>
                <w:sz w:val="14"/>
                <w:szCs w:val="14"/>
              </w:rPr>
              <w:t>(Zip Code</w:t>
            </w:r>
            <w:r>
              <w:rPr>
                <w:b/>
                <w:bCs/>
                <w:sz w:val="14"/>
                <w:szCs w:val="14"/>
              </w:rPr>
              <w:t>)</w:t>
            </w:r>
          </w:p>
        </w:tc>
      </w:tr>
    </w:tbl>
    <w:p w:rsidR="00000000" w:rsidRDefault="006D723D">
      <w:pPr>
        <w:pStyle w:val="a3"/>
        <w:spacing w:before="60" w:beforeAutospacing="0" w:after="0" w:afterAutospacing="0"/>
        <w:jc w:val="center"/>
        <w:rPr>
          <w:sz w:val="20"/>
          <w:szCs w:val="20"/>
        </w:rPr>
      </w:pPr>
      <w:r>
        <w:rPr>
          <w:sz w:val="6"/>
          <w:szCs w:val="6"/>
        </w:rPr>
        <w:t> </w:t>
      </w:r>
    </w:p>
    <w:p w:rsidR="00000000" w:rsidRDefault="006D723D">
      <w:pPr>
        <w:pStyle w:val="a3"/>
        <w:spacing w:before="0" w:beforeAutospacing="0" w:after="0" w:afterAutospacing="0"/>
        <w:jc w:val="center"/>
        <w:rPr>
          <w:sz w:val="20"/>
          <w:szCs w:val="20"/>
        </w:rPr>
      </w:pPr>
      <w:r>
        <w:rPr>
          <w:b/>
          <w:bCs/>
          <w:sz w:val="17"/>
          <w:szCs w:val="17"/>
        </w:rPr>
        <w:t xml:space="preserve">REGISTRANT'S TELEPHONE NUMBER, INCLUDING AREA CODE: </w:t>
      </w:r>
      <w:r>
        <w:rPr>
          <w:b/>
          <w:bCs/>
          <w:sz w:val="17"/>
          <w:szCs w:val="17"/>
        </w:rPr>
        <w:t>(</w:t>
      </w:r>
      <w:r>
        <w:rPr>
          <w:b/>
          <w:bCs/>
          <w:sz w:val="17"/>
          <w:szCs w:val="17"/>
        </w:rPr>
        <w:t>61</w:t>
      </w:r>
      <w:r>
        <w:rPr>
          <w:b/>
          <w:bCs/>
          <w:sz w:val="17"/>
          <w:szCs w:val="17"/>
        </w:rPr>
        <w:t>5</w:t>
      </w:r>
      <w:r>
        <w:rPr>
          <w:b/>
          <w:bCs/>
          <w:sz w:val="17"/>
          <w:szCs w:val="17"/>
        </w:rPr>
        <w:t>)</w:t>
      </w:r>
      <w:r>
        <w:rPr>
          <w:b/>
          <w:bCs/>
          <w:sz w:val="17"/>
          <w:szCs w:val="17"/>
        </w:rPr>
        <w:t xml:space="preserve"> </w:t>
      </w:r>
      <w:r>
        <w:rPr>
          <w:b/>
          <w:bCs/>
          <w:sz w:val="17"/>
          <w:szCs w:val="17"/>
        </w:rPr>
        <w:t>263-300</w:t>
      </w:r>
      <w:r>
        <w:rPr>
          <w:b/>
          <w:bCs/>
          <w:sz w:val="17"/>
          <w:szCs w:val="17"/>
        </w:rPr>
        <w:t>0</w:t>
      </w:r>
    </w:p>
    <w:p w:rsidR="00000000" w:rsidRDefault="006D723D">
      <w:pPr>
        <w:pStyle w:val="a3"/>
        <w:spacing w:before="0" w:beforeAutospacing="0" w:after="0" w:afterAutospacing="0"/>
        <w:jc w:val="center"/>
        <w:rPr>
          <w:sz w:val="20"/>
          <w:szCs w:val="20"/>
        </w:rPr>
      </w:pPr>
      <w:r>
        <w:rPr>
          <w:b/>
          <w:bCs/>
          <w:sz w:val="17"/>
          <w:szCs w:val="17"/>
        </w:rPr>
        <w:t>SECURITIES REGISTERED PURSUANT TO SECTION 12(b) OF THE ACT</w:t>
      </w:r>
      <w:r>
        <w:rPr>
          <w:b/>
          <w:bCs/>
          <w:sz w:val="17"/>
          <w:szCs w:val="17"/>
        </w:rPr>
        <w:t>:</w:t>
      </w:r>
    </w:p>
    <w:p w:rsidR="00000000" w:rsidRDefault="006D723D">
      <w:pPr>
        <w:pStyle w:val="a3"/>
        <w:spacing w:before="0" w:beforeAutospacing="0" w:after="0" w:afterAutospacing="0"/>
        <w:rPr>
          <w:sz w:val="20"/>
          <w:szCs w:val="20"/>
        </w:rPr>
      </w:pPr>
      <w:r>
        <w:rPr>
          <w:sz w:val="6"/>
          <w:szCs w:val="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66"/>
        <w:gridCol w:w="188"/>
        <w:gridCol w:w="3126"/>
        <w:gridCol w:w="150"/>
        <w:gridCol w:w="2376"/>
      </w:tblGrid>
      <w:tr w:rsidR="00000000">
        <w:trPr>
          <w:tblCellSpacing w:w="15" w:type="dxa"/>
        </w:trPr>
        <w:tc>
          <w:tcPr>
            <w:tcW w:w="1489" w:type="pct"/>
            <w:vAlign w:val="center"/>
            <w:hideMark/>
          </w:tcPr>
          <w:p w:rsidR="00000000" w:rsidRDefault="006D723D">
            <w:pPr>
              <w:rPr>
                <w:sz w:val="20"/>
                <w:szCs w:val="20"/>
              </w:rPr>
            </w:pPr>
          </w:p>
        </w:tc>
        <w:tc>
          <w:tcPr>
            <w:tcW w:w="97" w:type="pct"/>
            <w:vAlign w:val="center"/>
            <w:hideMark/>
          </w:tcPr>
          <w:p w:rsidR="00000000" w:rsidRDefault="006D723D">
            <w:pPr>
              <w:rPr>
                <w:rFonts w:eastAsia="Times New Roman"/>
                <w:sz w:val="20"/>
                <w:szCs w:val="20"/>
              </w:rPr>
            </w:pPr>
          </w:p>
        </w:tc>
        <w:tc>
          <w:tcPr>
            <w:tcW w:w="1904" w:type="pct"/>
            <w:vAlign w:val="center"/>
            <w:hideMark/>
          </w:tcPr>
          <w:p w:rsidR="00000000" w:rsidRDefault="006D723D">
            <w:pPr>
              <w:rPr>
                <w:rFonts w:eastAsia="Times New Roman"/>
                <w:sz w:val="20"/>
                <w:szCs w:val="20"/>
              </w:rPr>
            </w:pPr>
          </w:p>
        </w:tc>
        <w:tc>
          <w:tcPr>
            <w:tcW w:w="74" w:type="pct"/>
            <w:vAlign w:val="center"/>
            <w:hideMark/>
          </w:tcPr>
          <w:p w:rsidR="00000000" w:rsidRDefault="006D723D">
            <w:pPr>
              <w:rPr>
                <w:rFonts w:eastAsia="Times New Roman"/>
                <w:sz w:val="20"/>
                <w:szCs w:val="20"/>
              </w:rPr>
            </w:pPr>
          </w:p>
        </w:tc>
        <w:tc>
          <w:tcPr>
            <w:tcW w:w="1433" w:type="pct"/>
            <w:vAlign w:val="center"/>
            <w:hideMark/>
          </w:tcPr>
          <w:p w:rsidR="00000000" w:rsidRDefault="006D723D">
            <w:pPr>
              <w:rPr>
                <w:rFonts w:eastAsia="Times New Roman"/>
                <w:sz w:val="20"/>
                <w:szCs w:val="20"/>
              </w:rPr>
            </w:pPr>
          </w:p>
        </w:tc>
      </w:tr>
      <w:tr w:rsidR="00000000">
        <w:trPr>
          <w:trHeight w:val="160"/>
          <w:tblCellSpacing w:w="15" w:type="dxa"/>
        </w:trPr>
        <w:tc>
          <w:tcPr>
            <w:tcW w:w="0" w:type="auto"/>
            <w:tcBorders>
              <w:bottom w:val="single" w:sz="8" w:space="0" w:color="auto"/>
            </w:tcBorders>
            <w:vAlign w:val="bottom"/>
            <w:hideMark/>
          </w:tcPr>
          <w:p w:rsidR="00000000" w:rsidRDefault="006D723D">
            <w:pPr>
              <w:pStyle w:val="a3"/>
              <w:spacing w:before="0" w:beforeAutospacing="0" w:after="0" w:afterAutospacing="0"/>
              <w:jc w:val="center"/>
              <w:rPr>
                <w:sz w:val="16"/>
                <w:szCs w:val="16"/>
              </w:rPr>
            </w:pPr>
            <w:r>
              <w:rPr>
                <w:b/>
                <w:bCs/>
                <w:sz w:val="16"/>
                <w:szCs w:val="16"/>
              </w:rPr>
              <w:t>Title of each clas</w:t>
            </w:r>
            <w:r>
              <w:rPr>
                <w:b/>
                <w:bCs/>
                <w:sz w:val="16"/>
                <w:szCs w:val="16"/>
              </w:rPr>
              <w:t>s</w:t>
            </w:r>
          </w:p>
        </w:tc>
        <w:tc>
          <w:tcPr>
            <w:tcW w:w="0" w:type="auto"/>
            <w:hideMark/>
          </w:tcPr>
          <w:p w:rsidR="00000000" w:rsidRDefault="006D723D">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6D723D">
            <w:pPr>
              <w:pStyle w:val="a3"/>
              <w:spacing w:before="0" w:beforeAutospacing="0" w:after="0" w:afterAutospacing="0"/>
              <w:jc w:val="center"/>
              <w:rPr>
                <w:sz w:val="16"/>
                <w:szCs w:val="16"/>
              </w:rPr>
            </w:pPr>
            <w:r>
              <w:rPr>
                <w:b/>
                <w:bCs/>
                <w:sz w:val="16"/>
                <w:szCs w:val="16"/>
              </w:rPr>
              <w:t>Trading Symbol(s</w:t>
            </w:r>
            <w:r>
              <w:rPr>
                <w:b/>
                <w:bCs/>
                <w:sz w:val="16"/>
                <w:szCs w:val="16"/>
              </w:rPr>
              <w:t>)</w:t>
            </w:r>
          </w:p>
        </w:tc>
        <w:tc>
          <w:tcPr>
            <w:tcW w:w="0" w:type="auto"/>
            <w:hideMark/>
          </w:tcPr>
          <w:p w:rsidR="00000000" w:rsidRDefault="006D723D">
            <w:pPr>
              <w:pStyle w:val="a3"/>
              <w:spacing w:before="0" w:beforeAutospacing="0" w:after="0" w:afterAutospacing="0"/>
              <w:jc w:val="center"/>
              <w:rPr>
                <w:sz w:val="16"/>
                <w:szCs w:val="16"/>
              </w:rPr>
            </w:pPr>
            <w:r>
              <w:rPr>
                <w:sz w:val="16"/>
                <w:szCs w:val="16"/>
              </w:rPr>
              <w:t> </w:t>
            </w:r>
          </w:p>
        </w:tc>
        <w:tc>
          <w:tcPr>
            <w:tcW w:w="0" w:type="auto"/>
            <w:tcBorders>
              <w:bottom w:val="single" w:sz="8" w:space="0" w:color="auto"/>
            </w:tcBorders>
            <w:vAlign w:val="bottom"/>
            <w:hideMark/>
          </w:tcPr>
          <w:p w:rsidR="00000000" w:rsidRDefault="006D723D">
            <w:pPr>
              <w:pStyle w:val="a3"/>
              <w:spacing w:before="0" w:beforeAutospacing="0" w:after="0" w:afterAutospacing="0"/>
              <w:jc w:val="center"/>
              <w:rPr>
                <w:sz w:val="16"/>
                <w:szCs w:val="16"/>
              </w:rPr>
            </w:pPr>
            <w:r>
              <w:rPr>
                <w:b/>
                <w:bCs/>
                <w:sz w:val="16"/>
                <w:szCs w:val="16"/>
              </w:rPr>
              <w:t>Name of each exchang</w:t>
            </w:r>
            <w:r>
              <w:rPr>
                <w:b/>
                <w:bCs/>
                <w:sz w:val="16"/>
                <w:szCs w:val="16"/>
              </w:rPr>
              <w:t>e</w:t>
            </w:r>
          </w:p>
          <w:p w:rsidR="00000000" w:rsidRDefault="006D723D">
            <w:pPr>
              <w:pStyle w:val="a3"/>
              <w:spacing w:before="0" w:beforeAutospacing="0" w:after="0" w:afterAutospacing="0"/>
              <w:jc w:val="center"/>
              <w:rPr>
                <w:sz w:val="16"/>
                <w:szCs w:val="16"/>
              </w:rPr>
            </w:pPr>
            <w:r>
              <w:rPr>
                <w:b/>
                <w:bCs/>
                <w:sz w:val="16"/>
                <w:szCs w:val="16"/>
              </w:rPr>
              <w:t>on which registere</w:t>
            </w:r>
            <w:r>
              <w:rPr>
                <w:b/>
                <w:bCs/>
                <w:sz w:val="16"/>
                <w:szCs w:val="16"/>
              </w:rPr>
              <w:t>d</w:t>
            </w:r>
          </w:p>
        </w:tc>
      </w:tr>
      <w:tr w:rsidR="00000000">
        <w:trPr>
          <w:trHeight w:val="160"/>
          <w:tblCellSpacing w:w="15" w:type="dxa"/>
        </w:trPr>
        <w:tc>
          <w:tcPr>
            <w:tcW w:w="0" w:type="auto"/>
            <w:hideMark/>
          </w:tcPr>
          <w:p w:rsidR="00000000" w:rsidRDefault="006D723D">
            <w:pPr>
              <w:pStyle w:val="a3"/>
              <w:spacing w:before="0" w:beforeAutospacing="0" w:after="0" w:afterAutospacing="0"/>
              <w:jc w:val="center"/>
              <w:rPr>
                <w:sz w:val="20"/>
                <w:szCs w:val="20"/>
              </w:rPr>
            </w:pPr>
            <w:r>
              <w:rPr>
                <w:sz w:val="17"/>
                <w:szCs w:val="17"/>
              </w:rPr>
              <w:t>Common Stock, par value $.01 per shar</w:t>
            </w:r>
            <w:r>
              <w:rPr>
                <w:sz w:val="17"/>
                <w:szCs w:val="17"/>
              </w:rPr>
              <w:t>e</w:t>
            </w:r>
          </w:p>
        </w:tc>
        <w:tc>
          <w:tcPr>
            <w:tcW w:w="0" w:type="auto"/>
            <w:hideMark/>
          </w:tcPr>
          <w:p w:rsidR="00000000" w:rsidRDefault="006D723D">
            <w:pPr>
              <w:pStyle w:val="a3"/>
              <w:spacing w:before="0" w:beforeAutospacing="0" w:after="0" w:afterAutospacing="0"/>
              <w:jc w:val="center"/>
              <w:rPr>
                <w:sz w:val="17"/>
                <w:szCs w:val="17"/>
              </w:rPr>
            </w:pPr>
            <w:r>
              <w:rPr>
                <w:sz w:val="17"/>
                <w:szCs w:val="17"/>
              </w:rPr>
              <w:t> </w:t>
            </w:r>
          </w:p>
        </w:tc>
        <w:tc>
          <w:tcPr>
            <w:tcW w:w="0" w:type="auto"/>
            <w:hideMark/>
          </w:tcPr>
          <w:p w:rsidR="00000000" w:rsidRDefault="006D723D">
            <w:pPr>
              <w:pStyle w:val="a3"/>
              <w:spacing w:before="0" w:beforeAutospacing="0" w:after="0" w:afterAutospacing="0"/>
              <w:jc w:val="center"/>
              <w:rPr>
                <w:sz w:val="20"/>
                <w:szCs w:val="20"/>
              </w:rPr>
            </w:pPr>
            <w:r>
              <w:rPr>
                <w:b/>
                <w:bCs/>
                <w:sz w:val="17"/>
                <w:szCs w:val="17"/>
              </w:rPr>
              <w:t>CX</w:t>
            </w:r>
            <w:r>
              <w:rPr>
                <w:b/>
                <w:bCs/>
                <w:sz w:val="17"/>
                <w:szCs w:val="17"/>
              </w:rPr>
              <w:t>W</w:t>
            </w:r>
          </w:p>
        </w:tc>
        <w:tc>
          <w:tcPr>
            <w:tcW w:w="0" w:type="auto"/>
            <w:hideMark/>
          </w:tcPr>
          <w:p w:rsidR="00000000" w:rsidRDefault="006D723D">
            <w:pPr>
              <w:pStyle w:val="a3"/>
              <w:spacing w:before="0" w:beforeAutospacing="0" w:after="0" w:afterAutospacing="0"/>
              <w:jc w:val="center"/>
              <w:rPr>
                <w:sz w:val="17"/>
                <w:szCs w:val="17"/>
              </w:rPr>
            </w:pPr>
            <w:r>
              <w:rPr>
                <w:sz w:val="17"/>
                <w:szCs w:val="17"/>
              </w:rPr>
              <w:t> </w:t>
            </w:r>
          </w:p>
        </w:tc>
        <w:tc>
          <w:tcPr>
            <w:tcW w:w="0" w:type="auto"/>
            <w:hideMark/>
          </w:tcPr>
          <w:p w:rsidR="00000000" w:rsidRDefault="006D723D">
            <w:pPr>
              <w:pStyle w:val="a3"/>
              <w:spacing w:before="0" w:beforeAutospacing="0" w:after="0" w:afterAutospacing="0"/>
              <w:jc w:val="center"/>
              <w:rPr>
                <w:sz w:val="20"/>
                <w:szCs w:val="20"/>
              </w:rPr>
            </w:pPr>
            <w:r>
              <w:rPr>
                <w:sz w:val="17"/>
                <w:szCs w:val="17"/>
              </w:rPr>
              <w:t>New York Stock Exchang</w:t>
            </w:r>
            <w:r>
              <w:rPr>
                <w:sz w:val="17"/>
                <w:szCs w:val="17"/>
              </w:rPr>
              <w:t>e</w:t>
            </w:r>
          </w:p>
        </w:tc>
      </w:tr>
    </w:tbl>
    <w:p w:rsidR="00000000" w:rsidRDefault="006D723D">
      <w:pPr>
        <w:pStyle w:val="a3"/>
        <w:spacing w:before="0" w:beforeAutospacing="0" w:after="0" w:afterAutospacing="0"/>
        <w:jc w:val="both"/>
        <w:rPr>
          <w:sz w:val="20"/>
          <w:szCs w:val="20"/>
        </w:rPr>
      </w:pPr>
      <w:r>
        <w:rPr>
          <w:sz w:val="6"/>
          <w:szCs w:val="6"/>
        </w:rPr>
        <w:t> </w:t>
      </w:r>
    </w:p>
    <w:p w:rsidR="00000000" w:rsidRDefault="006D723D">
      <w:pPr>
        <w:pStyle w:val="a3"/>
        <w:spacing w:before="0" w:beforeAutospacing="0" w:after="0" w:afterAutospacing="0"/>
        <w:jc w:val="both"/>
        <w:rPr>
          <w:sz w:val="20"/>
          <w:szCs w:val="20"/>
        </w:rPr>
      </w:pPr>
      <w:r>
        <w:rPr>
          <w:sz w:val="2"/>
          <w:szCs w:val="2"/>
        </w:rPr>
        <w:t> </w:t>
      </w:r>
    </w:p>
    <w:p w:rsidR="00000000" w:rsidRDefault="006D723D">
      <w:pPr>
        <w:pStyle w:val="a3"/>
        <w:spacing w:before="0" w:beforeAutospacing="0" w:after="0" w:afterAutospacing="0"/>
        <w:jc w:val="center"/>
        <w:rPr>
          <w:sz w:val="20"/>
          <w:szCs w:val="20"/>
        </w:rPr>
      </w:pPr>
      <w:r>
        <w:rPr>
          <w:b/>
          <w:bCs/>
          <w:sz w:val="17"/>
          <w:szCs w:val="17"/>
        </w:rPr>
        <w:t>SECURITIES REGISTERED PURSUANT TO SECTION 12(g) OF THE ACT: NON</w:t>
      </w:r>
      <w:r>
        <w:rPr>
          <w:b/>
          <w:bCs/>
          <w:sz w:val="17"/>
          <w:szCs w:val="17"/>
        </w:rPr>
        <w:t>E</w:t>
      </w:r>
    </w:p>
    <w:p w:rsidR="00000000" w:rsidRDefault="006D723D">
      <w:pPr>
        <w:pStyle w:val="a3"/>
        <w:pBdr>
          <w:bottom w:val="single" w:sz="8" w:space="1" w:color="auto"/>
        </w:pBdr>
        <w:spacing w:before="0" w:beforeAutospacing="0" w:after="0" w:afterAutospacing="0"/>
        <w:ind w:left="3928" w:right="3928"/>
        <w:jc w:val="center"/>
        <w:rPr>
          <w:sz w:val="20"/>
          <w:szCs w:val="20"/>
        </w:rPr>
      </w:pPr>
      <w:r>
        <w:rPr>
          <w:sz w:val="6"/>
          <w:szCs w:val="6"/>
        </w:rPr>
        <w:t> </w:t>
      </w:r>
    </w:p>
    <w:p w:rsidR="00000000" w:rsidRDefault="006D723D">
      <w:pPr>
        <w:pStyle w:val="a3"/>
        <w:spacing w:before="0" w:beforeAutospacing="0" w:after="0" w:afterAutospacing="0"/>
        <w:rPr>
          <w:sz w:val="20"/>
          <w:szCs w:val="20"/>
        </w:rPr>
      </w:pPr>
      <w:r>
        <w:rPr>
          <w:sz w:val="17"/>
          <w:szCs w:val="17"/>
        </w:rPr>
        <w:t>Indicate by check mark if the registrant is a well-known seasoned issuer, as defined in Rule 405 of the Securities Act.</w:t>
      </w:r>
      <w:r>
        <w:rPr>
          <w:sz w:val="17"/>
          <w:szCs w:val="17"/>
        </w:rPr>
        <w:t xml:space="preserve"> </w:t>
      </w:r>
      <w:r>
        <w:rPr>
          <w:sz w:val="17"/>
          <w:szCs w:val="17"/>
        </w:rPr>
        <w:t>Ye</w:t>
      </w:r>
      <w:r>
        <w:rPr>
          <w:sz w:val="17"/>
          <w:szCs w:val="17"/>
        </w:rPr>
        <w:t>s</w:t>
      </w:r>
      <w:r>
        <w:rPr>
          <w:sz w:val="17"/>
          <w:szCs w:val="17"/>
        </w:rPr>
        <w:t xml:space="preserve"> </w:t>
      </w:r>
      <w:r>
        <w:rPr>
          <w:rFonts w:ascii="Segoe UI Symbol" w:hAnsi="Segoe UI Symbol" w:cs="Segoe UI Symbol"/>
          <w:sz w:val="17"/>
          <w:szCs w:val="17"/>
        </w:rPr>
        <w:t>☒</w:t>
      </w:r>
      <w:r>
        <w:rPr>
          <w:sz w:val="17"/>
          <w:szCs w:val="17"/>
        </w:rPr>
        <w:t xml:space="preserve"> No</w:t>
      </w:r>
      <w:r>
        <w:rPr>
          <w:sz w:val="17"/>
          <w:szCs w:val="17"/>
        </w:rPr>
        <w:t xml:space="preserve"> </w:t>
      </w:r>
      <w:r>
        <w:rPr>
          <w:rFonts w:ascii="Segoe UI Symbol" w:hAnsi="Segoe UI Symbol" w:cs="Segoe UI Symbol"/>
          <w:sz w:val="17"/>
          <w:szCs w:val="17"/>
        </w:rPr>
        <w:t>☐</w:t>
      </w:r>
    </w:p>
    <w:p w:rsidR="00000000" w:rsidRDefault="006D723D">
      <w:pPr>
        <w:pStyle w:val="a3"/>
        <w:spacing w:before="20" w:beforeAutospacing="0" w:after="0" w:afterAutospacing="0"/>
        <w:rPr>
          <w:sz w:val="20"/>
          <w:szCs w:val="20"/>
        </w:rPr>
      </w:pPr>
      <w:r>
        <w:rPr>
          <w:sz w:val="17"/>
          <w:szCs w:val="17"/>
        </w:rPr>
        <w:t xml:space="preserve">Indicate by check mark if the registrant is not required to file reports pursuant to Section 13 or Section 15(d) of the Act. </w:t>
      </w:r>
      <w:r>
        <w:rPr>
          <w:sz w:val="17"/>
          <w:szCs w:val="17"/>
        </w:rPr>
        <w:t>Yes</w:t>
      </w:r>
      <w:r>
        <w:rPr>
          <w:sz w:val="17"/>
          <w:szCs w:val="17"/>
        </w:rPr>
        <w:t xml:space="preserve"> </w:t>
      </w:r>
      <w:r>
        <w:rPr>
          <w:rFonts w:ascii="Segoe UI Symbol" w:hAnsi="Segoe UI Symbol" w:cs="Segoe UI Symbol"/>
          <w:sz w:val="17"/>
          <w:szCs w:val="17"/>
        </w:rPr>
        <w:t>☐</w:t>
      </w:r>
      <w:r>
        <w:rPr>
          <w:sz w:val="17"/>
          <w:szCs w:val="17"/>
        </w:rPr>
        <w:t xml:space="preserve"> </w:t>
      </w:r>
      <w:r>
        <w:rPr>
          <w:sz w:val="17"/>
          <w:szCs w:val="17"/>
        </w:rPr>
        <w:t>N</w:t>
      </w:r>
      <w:r>
        <w:rPr>
          <w:sz w:val="17"/>
          <w:szCs w:val="17"/>
        </w:rPr>
        <w:t>o</w:t>
      </w:r>
      <w:r>
        <w:rPr>
          <w:sz w:val="17"/>
          <w:szCs w:val="17"/>
        </w:rPr>
        <w:t xml:space="preserve"> </w:t>
      </w:r>
      <w:r>
        <w:rPr>
          <w:rFonts w:ascii="Segoe UI Symbol" w:hAnsi="Segoe UI Symbol" w:cs="Segoe UI Symbol"/>
          <w:sz w:val="17"/>
          <w:szCs w:val="17"/>
        </w:rPr>
        <w:t>☒</w:t>
      </w:r>
    </w:p>
    <w:p w:rsidR="00000000" w:rsidRDefault="006D723D">
      <w:pPr>
        <w:pStyle w:val="a3"/>
        <w:spacing w:before="40" w:beforeAutospacing="0" w:after="0" w:afterAutospacing="0"/>
        <w:jc w:val="both"/>
        <w:rPr>
          <w:sz w:val="20"/>
          <w:szCs w:val="20"/>
        </w:rPr>
      </w:pPr>
      <w:r>
        <w:rPr>
          <w:sz w:val="17"/>
          <w:szCs w:val="17"/>
        </w:rPr>
        <w:t>Indicate by check mark whether the registrant (1) has filed all reports required to be filed by Section 13 or 15(d) of the Securities Exchange Act of 1934 during the preceding 12 months (or for such shorter period that the registrant was require</w:t>
      </w:r>
      <w:r>
        <w:rPr>
          <w:sz w:val="17"/>
          <w:szCs w:val="17"/>
        </w:rPr>
        <w:t>d to file such reports), and (2) has been subject to such filing requirements for the past 90 days.</w:t>
      </w:r>
      <w:r>
        <w:rPr>
          <w:sz w:val="17"/>
          <w:szCs w:val="17"/>
        </w:rPr>
        <w:t xml:space="preserve"> </w:t>
      </w:r>
      <w:r>
        <w:rPr>
          <w:sz w:val="17"/>
          <w:szCs w:val="17"/>
        </w:rPr>
        <w:t>Ye</w:t>
      </w:r>
      <w:r>
        <w:rPr>
          <w:sz w:val="17"/>
          <w:szCs w:val="17"/>
        </w:rPr>
        <w:t>s</w:t>
      </w:r>
      <w:r>
        <w:rPr>
          <w:sz w:val="17"/>
          <w:szCs w:val="17"/>
        </w:rPr>
        <w:t xml:space="preserve"> </w:t>
      </w:r>
      <w:r>
        <w:rPr>
          <w:rFonts w:ascii="Segoe UI Symbol" w:hAnsi="Segoe UI Symbol" w:cs="Segoe UI Symbol"/>
          <w:sz w:val="17"/>
          <w:szCs w:val="17"/>
        </w:rPr>
        <w:t>☒</w:t>
      </w:r>
      <w:r>
        <w:rPr>
          <w:sz w:val="17"/>
          <w:szCs w:val="17"/>
        </w:rPr>
        <w:t xml:space="preserve"> No</w:t>
      </w:r>
      <w:r>
        <w:rPr>
          <w:sz w:val="17"/>
          <w:szCs w:val="17"/>
        </w:rPr>
        <w:t xml:space="preserve"> </w:t>
      </w:r>
      <w:r>
        <w:rPr>
          <w:rFonts w:ascii="Segoe UI Symbol" w:hAnsi="Segoe UI Symbol" w:cs="Segoe UI Symbol"/>
          <w:sz w:val="17"/>
          <w:szCs w:val="17"/>
        </w:rPr>
        <w:t>☐</w:t>
      </w:r>
    </w:p>
    <w:p w:rsidR="00000000" w:rsidRDefault="006D723D">
      <w:pPr>
        <w:pStyle w:val="a3"/>
        <w:spacing w:before="40" w:beforeAutospacing="0" w:after="0" w:afterAutospacing="0"/>
        <w:jc w:val="both"/>
        <w:rPr>
          <w:sz w:val="20"/>
          <w:szCs w:val="20"/>
        </w:rPr>
      </w:pPr>
      <w:r>
        <w:rPr>
          <w:sz w:val="17"/>
          <w:szCs w:val="17"/>
        </w:rPr>
        <w:t xml:space="preserve">Indicate by check mark whether the registrant has submitted electronically every Interactive Data File required to be submitted pursuant to Rule </w:t>
      </w:r>
      <w:r>
        <w:rPr>
          <w:sz w:val="17"/>
          <w:szCs w:val="17"/>
        </w:rPr>
        <w:t>405 of Regulation S-T during the preceding 12 months (or for such shorter period that the registrant was required to submit such files).</w:t>
      </w:r>
      <w:r>
        <w:rPr>
          <w:sz w:val="17"/>
          <w:szCs w:val="17"/>
        </w:rPr>
        <w:t xml:space="preserve"> </w:t>
      </w:r>
      <w:r>
        <w:rPr>
          <w:sz w:val="17"/>
          <w:szCs w:val="17"/>
        </w:rPr>
        <w:t>Ye</w:t>
      </w:r>
      <w:r>
        <w:rPr>
          <w:sz w:val="17"/>
          <w:szCs w:val="17"/>
        </w:rPr>
        <w:t>s</w:t>
      </w:r>
      <w:r>
        <w:rPr>
          <w:sz w:val="17"/>
          <w:szCs w:val="17"/>
        </w:rPr>
        <w:t xml:space="preserve"> </w:t>
      </w:r>
      <w:r>
        <w:rPr>
          <w:rFonts w:ascii="Segoe UI Symbol" w:hAnsi="Segoe UI Symbol" w:cs="Segoe UI Symbol"/>
          <w:sz w:val="17"/>
          <w:szCs w:val="17"/>
        </w:rPr>
        <w:t>☒</w:t>
      </w:r>
      <w:r>
        <w:rPr>
          <w:sz w:val="17"/>
          <w:szCs w:val="17"/>
        </w:rPr>
        <w:t xml:space="preserve"> No</w:t>
      </w:r>
      <w:r>
        <w:rPr>
          <w:sz w:val="17"/>
          <w:szCs w:val="17"/>
        </w:rPr>
        <w:t xml:space="preserve"> </w:t>
      </w:r>
      <w:r>
        <w:rPr>
          <w:rFonts w:ascii="Segoe UI Symbol" w:hAnsi="Segoe UI Symbol" w:cs="Segoe UI Symbol"/>
          <w:sz w:val="17"/>
          <w:szCs w:val="17"/>
        </w:rPr>
        <w:t>☐</w:t>
      </w:r>
    </w:p>
    <w:p w:rsidR="00000000" w:rsidRDefault="006D723D">
      <w:pPr>
        <w:pStyle w:val="a3"/>
        <w:spacing w:before="40" w:beforeAutospacing="0" w:after="0" w:afterAutospacing="0"/>
        <w:jc w:val="both"/>
        <w:rPr>
          <w:sz w:val="20"/>
          <w:szCs w:val="20"/>
        </w:rPr>
      </w:pPr>
      <w:r>
        <w:rPr>
          <w:sz w:val="17"/>
          <w:szCs w:val="17"/>
        </w:rPr>
        <w:t>Indicate by check mark whether the registrant is a large accelerated filer, an accelerated filer, a non-acce</w:t>
      </w:r>
      <w:r>
        <w:rPr>
          <w:sz w:val="17"/>
          <w:szCs w:val="17"/>
        </w:rPr>
        <w:t>lerated filer, a smaller reporting company, or an emerging growth company. See the definitions of "large accelerated filer", "accelerated filer", "smaller reporting company", and "emerging growth company" in Rule 12b-2 of the Exchange Act</w:t>
      </w:r>
      <w:r>
        <w:rPr>
          <w:sz w:val="17"/>
          <w:szCs w:val="17"/>
        </w:rPr>
        <w:t>.</w:t>
      </w:r>
      <w:r>
        <w:rPr>
          <w:sz w:val="17"/>
          <w:szCs w:val="17"/>
        </w:rPr>
        <w:t xml:space="preserve"> </w:t>
      </w:r>
    </w:p>
    <w:p w:rsidR="00000000" w:rsidRDefault="006D723D">
      <w:pPr>
        <w:pStyle w:val="a3"/>
        <w:spacing w:before="0" w:beforeAutospacing="0" w:after="0" w:afterAutospacing="0"/>
        <w:rPr>
          <w:sz w:val="20"/>
          <w:szCs w:val="20"/>
        </w:rPr>
      </w:pPr>
      <w:r>
        <w:rPr>
          <w:sz w:val="6"/>
          <w:szCs w:val="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17"/>
        <w:gridCol w:w="1048"/>
        <w:gridCol w:w="111"/>
        <w:gridCol w:w="3747"/>
        <w:gridCol w:w="383"/>
      </w:tblGrid>
      <w:tr w:rsidR="00000000">
        <w:trPr>
          <w:tblCellSpacing w:w="15" w:type="dxa"/>
        </w:trPr>
        <w:tc>
          <w:tcPr>
            <w:tcW w:w="1827" w:type="pct"/>
            <w:vAlign w:val="center"/>
            <w:hideMark/>
          </w:tcPr>
          <w:p w:rsidR="00000000" w:rsidRDefault="006D723D">
            <w:pPr>
              <w:rPr>
                <w:sz w:val="20"/>
                <w:szCs w:val="20"/>
              </w:rPr>
            </w:pPr>
          </w:p>
        </w:tc>
        <w:tc>
          <w:tcPr>
            <w:tcW w:w="62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286" w:type="pct"/>
            <w:vAlign w:val="center"/>
            <w:hideMark/>
          </w:tcPr>
          <w:p w:rsidR="00000000" w:rsidRDefault="006D723D">
            <w:pPr>
              <w:rPr>
                <w:rFonts w:eastAsia="Times New Roman"/>
                <w:sz w:val="20"/>
                <w:szCs w:val="20"/>
              </w:rPr>
            </w:pPr>
          </w:p>
        </w:tc>
        <w:tc>
          <w:tcPr>
            <w:tcW w:w="208" w:type="pct"/>
            <w:vAlign w:val="center"/>
            <w:hideMark/>
          </w:tcPr>
          <w:p w:rsidR="00000000" w:rsidRDefault="006D723D">
            <w:pPr>
              <w:rPr>
                <w:rFonts w:eastAsia="Times New Roman"/>
                <w:sz w:val="20"/>
                <w:szCs w:val="20"/>
              </w:rPr>
            </w:pPr>
          </w:p>
        </w:tc>
      </w:tr>
      <w:tr w:rsidR="00000000">
        <w:trPr>
          <w:trHeight w:val="245"/>
          <w:tblCellSpacing w:w="15" w:type="dxa"/>
        </w:trPr>
        <w:tc>
          <w:tcPr>
            <w:tcW w:w="0" w:type="auto"/>
            <w:vAlign w:val="bottom"/>
            <w:hideMark/>
          </w:tcPr>
          <w:p w:rsidR="00000000" w:rsidRDefault="006D723D">
            <w:pPr>
              <w:pStyle w:val="a3"/>
              <w:spacing w:before="0" w:beforeAutospacing="0" w:after="0" w:afterAutospacing="0"/>
              <w:rPr>
                <w:sz w:val="20"/>
                <w:szCs w:val="20"/>
              </w:rPr>
            </w:pPr>
            <w:r>
              <w:rPr>
                <w:sz w:val="17"/>
                <w:szCs w:val="17"/>
              </w:rPr>
              <w:t>Large accelerated file</w:t>
            </w:r>
            <w:r>
              <w:rPr>
                <w:sz w:val="17"/>
                <w:szCs w:val="17"/>
              </w:rPr>
              <w:t>r</w:t>
            </w:r>
          </w:p>
        </w:tc>
        <w:tc>
          <w:tcPr>
            <w:tcW w:w="0" w:type="auto"/>
            <w:vAlign w:val="bottom"/>
            <w:hideMark/>
          </w:tcPr>
          <w:p w:rsidR="00000000" w:rsidRDefault="006D723D">
            <w:pPr>
              <w:pStyle w:val="a3"/>
              <w:spacing w:before="0" w:beforeAutospacing="0" w:after="0" w:afterAutospacing="0"/>
              <w:jc w:val="center"/>
              <w:rPr>
                <w:sz w:val="17"/>
                <w:szCs w:val="17"/>
              </w:rPr>
            </w:pPr>
            <w:r>
              <w:rPr>
                <w:rFonts w:ascii="Segoe UI Symbol" w:hAnsi="Segoe UI Symbol" w:cs="Segoe UI Symbol"/>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Accelerated file</w:t>
            </w:r>
            <w:r>
              <w:rPr>
                <w:sz w:val="17"/>
                <w:szCs w:val="17"/>
              </w:rPr>
              <w:t>r</w:t>
            </w:r>
          </w:p>
        </w:tc>
        <w:tc>
          <w:tcPr>
            <w:tcW w:w="0" w:type="auto"/>
            <w:vAlign w:val="bottom"/>
            <w:hideMark/>
          </w:tcPr>
          <w:p w:rsidR="00000000" w:rsidRDefault="006D723D">
            <w:pPr>
              <w:pStyle w:val="a3"/>
              <w:spacing w:before="0" w:beforeAutospacing="0" w:after="0" w:afterAutospacing="0"/>
              <w:jc w:val="center"/>
              <w:rPr>
                <w:sz w:val="17"/>
                <w:szCs w:val="17"/>
              </w:rPr>
            </w:pPr>
            <w:r>
              <w:rPr>
                <w:rFonts w:ascii="Segoe UI Symbol" w:hAnsi="Segoe UI Symbol" w:cs="Segoe UI Symbol"/>
                <w:sz w:val="17"/>
                <w:szCs w:val="17"/>
              </w:rPr>
              <w:t>☐</w:t>
            </w:r>
          </w:p>
        </w:tc>
      </w:tr>
      <w:tr w:rsidR="00000000">
        <w:trPr>
          <w:trHeight w:val="245"/>
          <w:tblCellSpacing w:w="15" w:type="dxa"/>
        </w:trPr>
        <w:tc>
          <w:tcPr>
            <w:tcW w:w="0" w:type="auto"/>
            <w:vAlign w:val="bottom"/>
            <w:hideMark/>
          </w:tcPr>
          <w:p w:rsidR="00000000" w:rsidRDefault="006D723D">
            <w:pPr>
              <w:pStyle w:val="a3"/>
              <w:spacing w:before="0" w:beforeAutospacing="0" w:after="0" w:afterAutospacing="0"/>
              <w:rPr>
                <w:sz w:val="17"/>
                <w:szCs w:val="17"/>
              </w:rPr>
            </w:pPr>
            <w:r>
              <w:rPr>
                <w:sz w:val="17"/>
                <w:szCs w:val="17"/>
              </w:rPr>
              <w:t>Non-accelerated file</w:t>
            </w:r>
            <w:r>
              <w:rPr>
                <w:sz w:val="17"/>
                <w:szCs w:val="17"/>
              </w:rPr>
              <w:t>r</w:t>
            </w:r>
          </w:p>
        </w:tc>
        <w:tc>
          <w:tcPr>
            <w:tcW w:w="0" w:type="auto"/>
            <w:vAlign w:val="bottom"/>
            <w:hideMark/>
          </w:tcPr>
          <w:p w:rsidR="00000000" w:rsidRDefault="006D723D">
            <w:pPr>
              <w:pStyle w:val="a3"/>
              <w:spacing w:before="0" w:beforeAutospacing="0" w:after="0" w:afterAutospacing="0"/>
              <w:jc w:val="center"/>
              <w:rPr>
                <w:sz w:val="17"/>
                <w:szCs w:val="17"/>
              </w:rPr>
            </w:pPr>
            <w:r>
              <w:rPr>
                <w:rFonts w:ascii="Segoe UI Symbol" w:hAnsi="Segoe UI Symbol" w:cs="Segoe UI Symbol"/>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Smaller reporting compan</w:t>
            </w:r>
            <w:r>
              <w:rPr>
                <w:sz w:val="17"/>
                <w:szCs w:val="17"/>
              </w:rPr>
              <w:t>y</w:t>
            </w:r>
          </w:p>
        </w:tc>
        <w:tc>
          <w:tcPr>
            <w:tcW w:w="0" w:type="auto"/>
            <w:vAlign w:val="bottom"/>
            <w:hideMark/>
          </w:tcPr>
          <w:p w:rsidR="00000000" w:rsidRDefault="006D723D">
            <w:pPr>
              <w:pStyle w:val="a3"/>
              <w:spacing w:before="0" w:beforeAutospacing="0" w:after="0" w:afterAutospacing="0"/>
              <w:jc w:val="center"/>
              <w:rPr>
                <w:sz w:val="20"/>
                <w:szCs w:val="20"/>
              </w:rPr>
            </w:pPr>
            <w:r>
              <w:rPr>
                <w:rFonts w:ascii="Segoe UI Symbol" w:hAnsi="Segoe UI Symbol" w:cs="Segoe UI Symbol"/>
                <w:sz w:val="17"/>
                <w:szCs w:val="17"/>
              </w:rPr>
              <w:t>☐</w:t>
            </w:r>
          </w:p>
        </w:tc>
      </w:tr>
      <w:tr w:rsidR="00000000">
        <w:trPr>
          <w:trHeight w:val="245"/>
          <w:tblCellSpacing w:w="15" w:type="dxa"/>
        </w:trPr>
        <w:tc>
          <w:tcPr>
            <w:tcW w:w="0" w:type="auto"/>
            <w:vAlign w:val="bottom"/>
            <w:hideMark/>
          </w:tcPr>
          <w:p w:rsidR="00000000" w:rsidRDefault="006D723D">
            <w:pPr>
              <w:pStyle w:val="a3"/>
              <w:spacing w:before="0" w:beforeAutospacing="0" w:after="0" w:afterAutospacing="0"/>
              <w:rPr>
                <w:sz w:val="17"/>
                <w:szCs w:val="17"/>
              </w:rPr>
            </w:pPr>
            <w:r>
              <w:rPr>
                <w:sz w:val="17"/>
                <w:szCs w:val="17"/>
              </w:rPr>
              <w:t>Emerging growth compan</w:t>
            </w:r>
            <w:r>
              <w:rPr>
                <w:sz w:val="17"/>
                <w:szCs w:val="17"/>
              </w:rPr>
              <w:t>y</w:t>
            </w:r>
          </w:p>
        </w:tc>
        <w:tc>
          <w:tcPr>
            <w:tcW w:w="0" w:type="auto"/>
            <w:vAlign w:val="bottom"/>
            <w:hideMark/>
          </w:tcPr>
          <w:p w:rsidR="00000000" w:rsidRDefault="006D723D">
            <w:pPr>
              <w:pStyle w:val="a3"/>
              <w:spacing w:before="0" w:beforeAutospacing="0" w:after="0" w:afterAutospacing="0"/>
              <w:jc w:val="center"/>
              <w:rPr>
                <w:sz w:val="20"/>
                <w:szCs w:val="20"/>
              </w:rPr>
            </w:pPr>
            <w:r>
              <w:rPr>
                <w:rFonts w:ascii="Segoe UI Symbol" w:hAnsi="Segoe UI Symbol" w:cs="Segoe UI Symbol"/>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center"/>
              <w:rPr>
                <w:sz w:val="17"/>
                <w:szCs w:val="17"/>
              </w:rPr>
            </w:pPr>
            <w:r>
              <w:rPr>
                <w:sz w:val="17"/>
                <w:szCs w:val="17"/>
              </w:rPr>
              <w:t> </w:t>
            </w:r>
          </w:p>
        </w:tc>
      </w:tr>
    </w:tbl>
    <w:p w:rsidR="00000000" w:rsidRDefault="006D723D">
      <w:pPr>
        <w:pStyle w:val="a3"/>
        <w:spacing w:before="60" w:beforeAutospacing="0" w:after="0" w:afterAutospacing="0"/>
        <w:jc w:val="both"/>
        <w:rPr>
          <w:sz w:val="20"/>
          <w:szCs w:val="20"/>
        </w:rPr>
      </w:pPr>
      <w:r>
        <w:rPr>
          <w:sz w:val="17"/>
          <w:szCs w:val="17"/>
        </w:rPr>
        <w:t>If an emerging growth company, indicate by check mark if the registrant has elected not to use the extended transition period for complying with any new or revised financial accounting standards provided pursuant to Section 13(a) of the Exchange Act.</w:t>
      </w:r>
      <w:r>
        <w:rPr>
          <w:sz w:val="17"/>
          <w:szCs w:val="17"/>
        </w:rPr>
        <w:t xml:space="preserve"> </w:t>
      </w:r>
      <w:r>
        <w:rPr>
          <w:rFonts w:ascii="Segoe UI Symbol" w:hAnsi="Segoe UI Symbol" w:cs="Segoe UI Symbol"/>
          <w:sz w:val="17"/>
          <w:szCs w:val="17"/>
        </w:rPr>
        <w:t>☐</w:t>
      </w:r>
      <w:r>
        <w:rPr>
          <w:sz w:val="17"/>
          <w:szCs w:val="17"/>
        </w:rPr>
        <w:t xml:space="preserve"> </w:t>
      </w:r>
    </w:p>
    <w:p w:rsidR="00000000" w:rsidRDefault="006D723D">
      <w:pPr>
        <w:pStyle w:val="a3"/>
        <w:spacing w:before="40" w:beforeAutospacing="0" w:after="0" w:afterAutospacing="0"/>
        <w:jc w:val="both"/>
        <w:rPr>
          <w:sz w:val="20"/>
          <w:szCs w:val="20"/>
        </w:rPr>
      </w:pPr>
      <w:r>
        <w:rPr>
          <w:sz w:val="17"/>
          <w:szCs w:val="17"/>
        </w:rPr>
        <w:t>In</w:t>
      </w:r>
      <w:r>
        <w:rPr>
          <w:sz w:val="17"/>
          <w:szCs w:val="17"/>
        </w:rPr>
        <w:t>dicate by check mark whether the registrant has filed a report on and attestation to its management's assessment of the effectiveness of its internal control over financial reporting under Section 404(b) of the Sarbanes-Oxley Act (15 U.S.C. 7262(b)) by the</w:t>
      </w:r>
      <w:r>
        <w:rPr>
          <w:sz w:val="17"/>
          <w:szCs w:val="17"/>
        </w:rPr>
        <w:t xml:space="preserve"> registered public accounting firm that prepared or issued its audit report.</w:t>
      </w:r>
      <w:r>
        <w:rPr>
          <w:sz w:val="17"/>
          <w:szCs w:val="17"/>
        </w:rPr>
        <w:t xml:space="preserve"> </w:t>
      </w:r>
      <w:r>
        <w:rPr>
          <w:rFonts w:ascii="Segoe UI Symbol" w:hAnsi="Segoe UI Symbol" w:cs="Segoe UI Symbol"/>
          <w:sz w:val="17"/>
          <w:szCs w:val="17"/>
        </w:rPr>
        <w:t>☒</w:t>
      </w:r>
    </w:p>
    <w:p w:rsidR="00000000" w:rsidRDefault="006D723D">
      <w:pPr>
        <w:pStyle w:val="a3"/>
        <w:spacing w:before="40" w:beforeAutospacing="0" w:after="0" w:afterAutospacing="0"/>
        <w:jc w:val="both"/>
        <w:rPr>
          <w:sz w:val="20"/>
          <w:szCs w:val="20"/>
        </w:rPr>
      </w:pPr>
      <w:r>
        <w:rPr>
          <w:sz w:val="17"/>
          <w:szCs w:val="17"/>
        </w:rPr>
        <w:t>Indicate by check mark whether the registrant is a shell company (as defined in Rule 12b-2 of the Act). Yes</w:t>
      </w:r>
      <w:r>
        <w:rPr>
          <w:sz w:val="17"/>
          <w:szCs w:val="17"/>
        </w:rPr>
        <w:t xml:space="preserve"> </w:t>
      </w:r>
      <w:r>
        <w:rPr>
          <w:rFonts w:ascii="Segoe UI Symbol" w:hAnsi="Segoe UI Symbol" w:cs="Segoe UI Symbol"/>
          <w:sz w:val="17"/>
          <w:szCs w:val="17"/>
        </w:rPr>
        <w:t>☐</w:t>
      </w:r>
      <w:r>
        <w:rPr>
          <w:sz w:val="17"/>
          <w:szCs w:val="17"/>
        </w:rPr>
        <w:t xml:space="preserve"> No</w:t>
      </w:r>
      <w:r>
        <w:rPr>
          <w:sz w:val="17"/>
          <w:szCs w:val="17"/>
        </w:rPr>
        <w:t xml:space="preserve"> </w:t>
      </w:r>
      <w:r>
        <w:rPr>
          <w:rFonts w:ascii="Segoe UI Symbol" w:hAnsi="Segoe UI Symbol" w:cs="Segoe UI Symbol"/>
          <w:sz w:val="17"/>
          <w:szCs w:val="17"/>
        </w:rPr>
        <w:t>☒</w:t>
      </w:r>
    </w:p>
    <w:p w:rsidR="00000000" w:rsidRDefault="006D723D">
      <w:pPr>
        <w:pStyle w:val="a3"/>
        <w:spacing w:before="40" w:beforeAutospacing="0" w:after="0" w:afterAutospacing="0"/>
        <w:jc w:val="both"/>
        <w:rPr>
          <w:sz w:val="20"/>
          <w:szCs w:val="20"/>
        </w:rPr>
      </w:pPr>
      <w:r>
        <w:rPr>
          <w:sz w:val="17"/>
          <w:szCs w:val="17"/>
        </w:rPr>
        <w:lastRenderedPageBreak/>
        <w:t>The aggregate market value of the shares of the registrant's C</w:t>
      </w:r>
      <w:r>
        <w:rPr>
          <w:sz w:val="17"/>
          <w:szCs w:val="17"/>
        </w:rPr>
        <w:t xml:space="preserve">ommon Stock held by non-affiliates was approximately </w:t>
      </w:r>
      <w:r>
        <w:rPr>
          <w:sz w:val="17"/>
          <w:szCs w:val="17"/>
        </w:rPr>
        <w:t>$</w:t>
      </w:r>
      <w:r>
        <w:rPr>
          <w:sz w:val="17"/>
          <w:szCs w:val="17"/>
        </w:rPr>
        <w:t>1,297,049,79</w:t>
      </w:r>
      <w:r>
        <w:rPr>
          <w:sz w:val="17"/>
          <w:szCs w:val="17"/>
        </w:rPr>
        <w:t>3</w:t>
      </w:r>
      <w:r>
        <w:rPr>
          <w:sz w:val="17"/>
          <w:szCs w:val="17"/>
        </w:rPr>
        <w:t xml:space="preserve"> as of June 30, 2022 based on the closing price of such shares on the New York Stock Exchange on that day. The number of shares of the registrant's Common Stock outstanding on February 13, </w:t>
      </w:r>
      <w:r>
        <w:rPr>
          <w:sz w:val="17"/>
          <w:szCs w:val="17"/>
        </w:rPr>
        <w:t>2023 was</w:t>
      </w:r>
      <w:r>
        <w:rPr>
          <w:sz w:val="17"/>
          <w:szCs w:val="17"/>
        </w:rPr>
        <w:t xml:space="preserve"> </w:t>
      </w:r>
      <w:r>
        <w:rPr>
          <w:sz w:val="17"/>
          <w:szCs w:val="17"/>
        </w:rPr>
        <w:t>114,060,05</w:t>
      </w:r>
      <w:r>
        <w:rPr>
          <w:sz w:val="17"/>
          <w:szCs w:val="17"/>
        </w:rPr>
        <w:t>1</w:t>
      </w:r>
      <w:r>
        <w:rPr>
          <w:sz w:val="17"/>
          <w:szCs w:val="17"/>
        </w:rPr>
        <w:t>.</w:t>
      </w:r>
    </w:p>
    <w:p w:rsidR="00000000" w:rsidRDefault="006D723D">
      <w:pPr>
        <w:pStyle w:val="a3"/>
        <w:spacing w:before="120" w:beforeAutospacing="0" w:after="0" w:afterAutospacing="0"/>
        <w:jc w:val="center"/>
        <w:rPr>
          <w:sz w:val="20"/>
          <w:szCs w:val="20"/>
        </w:rPr>
      </w:pPr>
      <w:r>
        <w:rPr>
          <w:b/>
          <w:bCs/>
          <w:sz w:val="17"/>
          <w:szCs w:val="17"/>
        </w:rPr>
        <w:t>DOCUMENTS INCORPORATED BY REFERENCE</w:t>
      </w:r>
      <w:r>
        <w:rPr>
          <w:b/>
          <w:bCs/>
          <w:sz w:val="17"/>
          <w:szCs w:val="17"/>
        </w:rPr>
        <w:t>:</w:t>
      </w:r>
    </w:p>
    <w:p w:rsidR="00000000" w:rsidRDefault="006D723D">
      <w:pPr>
        <w:pStyle w:val="a3"/>
        <w:spacing w:before="60" w:beforeAutospacing="0" w:after="0" w:afterAutospacing="0"/>
        <w:jc w:val="both"/>
        <w:divId w:val="172377321"/>
        <w:rPr>
          <w:sz w:val="20"/>
          <w:szCs w:val="20"/>
        </w:rPr>
      </w:pPr>
      <w:r>
        <w:rPr>
          <w:sz w:val="17"/>
          <w:szCs w:val="17"/>
        </w:rPr>
        <w:t>Portions of the registrant's definitive Proxy Statement for the 2023 Annual Meeting of Stockholders, currently scheduled to be held on May 11, 2023, are incorporated by reference into Part III of t</w:t>
      </w:r>
      <w:r>
        <w:rPr>
          <w:sz w:val="17"/>
          <w:szCs w:val="17"/>
        </w:rPr>
        <w:t>his Annual Report on Form 10-K</w:t>
      </w:r>
      <w:r>
        <w:rPr>
          <w:sz w:val="17"/>
          <w:szCs w:val="17"/>
        </w:rPr>
        <w:t>.</w: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jc w:val="center"/>
        <w:rPr>
          <w:sz w:val="20"/>
          <w:szCs w:val="20"/>
        </w:rPr>
      </w:pPr>
      <w:r>
        <w:rPr>
          <w:sz w:val="20"/>
          <w:szCs w:val="20"/>
        </w:rPr>
        <w:t> </w:t>
      </w:r>
    </w:p>
    <w:p w:rsidR="00000000" w:rsidRDefault="006D723D">
      <w:pPr>
        <w:rPr>
          <w:rFonts w:eastAsia="Times New Roman"/>
        </w:rPr>
      </w:pPr>
      <w:r>
        <w:rPr>
          <w:rFonts w:eastAsia="Times New Roman"/>
        </w:rPr>
        <w:pict>
          <v:rect id="_x0000_i1025"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jc w:val="center"/>
        <w:rPr>
          <w:sz w:val="20"/>
          <w:szCs w:val="20"/>
        </w:rPr>
      </w:pPr>
      <w:r>
        <w:rPr>
          <w:b/>
          <w:bCs/>
          <w:sz w:val="20"/>
          <w:szCs w:val="20"/>
        </w:rPr>
        <w:t>CORECIVIC, INC</w:t>
      </w:r>
      <w:r>
        <w:rPr>
          <w:b/>
          <w:bCs/>
          <w:sz w:val="20"/>
          <w:szCs w:val="20"/>
        </w:rPr>
        <w:t>.</w:t>
      </w:r>
    </w:p>
    <w:p w:rsidR="00000000" w:rsidRDefault="006D723D">
      <w:pPr>
        <w:pStyle w:val="a3"/>
        <w:spacing w:before="0" w:beforeAutospacing="0" w:after="0" w:afterAutospacing="0"/>
        <w:jc w:val="center"/>
        <w:rPr>
          <w:sz w:val="20"/>
          <w:szCs w:val="20"/>
        </w:rPr>
      </w:pPr>
      <w:r>
        <w:rPr>
          <w:b/>
          <w:bCs/>
          <w:sz w:val="20"/>
          <w:szCs w:val="20"/>
        </w:rPr>
        <w:t>FORM 10-</w:t>
      </w:r>
      <w:r>
        <w:rPr>
          <w:b/>
          <w:bCs/>
          <w:sz w:val="20"/>
          <w:szCs w:val="20"/>
        </w:rPr>
        <w:t>K</w:t>
      </w:r>
    </w:p>
    <w:p w:rsidR="00000000" w:rsidRDefault="006D723D">
      <w:pPr>
        <w:pStyle w:val="a3"/>
        <w:spacing w:before="0" w:beforeAutospacing="0" w:after="0" w:afterAutospacing="0"/>
        <w:jc w:val="center"/>
        <w:rPr>
          <w:sz w:val="20"/>
          <w:szCs w:val="20"/>
        </w:rPr>
      </w:pPr>
      <w:r>
        <w:rPr>
          <w:b/>
          <w:bCs/>
          <w:sz w:val="20"/>
          <w:szCs w:val="20"/>
        </w:rPr>
        <w:t>For the fiscal year ended December 31, 202</w:t>
      </w:r>
      <w:r>
        <w:rPr>
          <w:b/>
          <w:bCs/>
          <w:sz w:val="20"/>
          <w:szCs w:val="20"/>
        </w:rPr>
        <w:t>2</w:t>
      </w:r>
    </w:p>
    <w:p w:rsidR="00000000" w:rsidRDefault="006D723D">
      <w:pPr>
        <w:pStyle w:val="a3"/>
        <w:spacing w:before="120" w:beforeAutospacing="0" w:after="0" w:afterAutospacing="0"/>
        <w:jc w:val="center"/>
        <w:rPr>
          <w:sz w:val="20"/>
          <w:szCs w:val="20"/>
        </w:rPr>
      </w:pPr>
      <w:r>
        <w:rPr>
          <w:b/>
          <w:bCs/>
          <w:sz w:val="20"/>
          <w:szCs w:val="20"/>
        </w:rPr>
        <w:t>TABLE OF CONTENT</w:t>
      </w:r>
      <w:r>
        <w:rPr>
          <w:b/>
          <w:bCs/>
          <w:sz w:val="20"/>
          <w:szCs w:val="20"/>
        </w:rPr>
        <w: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1"/>
        <w:gridCol w:w="7181"/>
        <w:gridCol w:w="464"/>
      </w:tblGrid>
      <w:tr w:rsidR="00000000">
        <w:trPr>
          <w:tblCellSpacing w:w="15" w:type="dxa"/>
        </w:trPr>
        <w:tc>
          <w:tcPr>
            <w:tcW w:w="385" w:type="pct"/>
            <w:vAlign w:val="center"/>
            <w:hideMark/>
          </w:tcPr>
          <w:p w:rsidR="00000000" w:rsidRDefault="006D723D">
            <w:pPr>
              <w:rPr>
                <w:sz w:val="20"/>
                <w:szCs w:val="20"/>
              </w:rPr>
            </w:pPr>
          </w:p>
        </w:tc>
        <w:tc>
          <w:tcPr>
            <w:tcW w:w="4375" w:type="pct"/>
            <w:vAlign w:val="center"/>
            <w:hideMark/>
          </w:tcPr>
          <w:p w:rsidR="00000000" w:rsidRDefault="006D723D">
            <w:pPr>
              <w:rPr>
                <w:rFonts w:eastAsia="Times New Roman"/>
                <w:sz w:val="20"/>
                <w:szCs w:val="20"/>
              </w:rPr>
            </w:pPr>
          </w:p>
        </w:tc>
        <w:tc>
          <w:tcPr>
            <w:tcW w:w="239" w:type="pct"/>
            <w:vAlign w:val="center"/>
            <w:hideMark/>
          </w:tcPr>
          <w:p w:rsidR="00000000" w:rsidRDefault="006D723D">
            <w:pPr>
              <w:rPr>
                <w:rFonts w:eastAsia="Times New Roman"/>
                <w:sz w:val="20"/>
                <w:szCs w:val="20"/>
              </w:rPr>
            </w:pP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u w:val="single"/>
              </w:rPr>
              <w:t>Item N</w:t>
            </w:r>
            <w:r>
              <w:rPr>
                <w:sz w:val="20"/>
                <w:szCs w:val="20"/>
                <w:u w:val="single"/>
              </w:rPr>
              <w:t>o</w:t>
            </w:r>
            <w:r>
              <w:rPr>
                <w:sz w:val="20"/>
                <w:szCs w:val="20"/>
              </w:rPr>
              <w:t>.</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u w:val="single"/>
              </w:rPr>
              <w:t>Pag</w:t>
            </w:r>
            <w:r>
              <w:rPr>
                <w:sz w:val="20"/>
                <w:szCs w:val="20"/>
                <w:u w:val="single"/>
              </w:rPr>
              <w:t>e</w:t>
            </w:r>
          </w:p>
        </w:tc>
      </w:tr>
      <w:tr w:rsidR="00000000">
        <w:trPr>
          <w:tblCellSpacing w:w="15" w:type="dxa"/>
        </w:trPr>
        <w:tc>
          <w:tcPr>
            <w:tcW w:w="0" w:type="auto"/>
            <w:hideMark/>
          </w:tcPr>
          <w:p w:rsidR="00000000" w:rsidRDefault="006D723D">
            <w:pPr>
              <w:pStyle w:val="a3"/>
              <w:spacing w:before="0" w:beforeAutospacing="0" w:after="0" w:afterAutospacing="0"/>
              <w:jc w:val="both"/>
              <w:rPr>
                <w:sz w:val="12"/>
                <w:szCs w:val="12"/>
              </w:rPr>
            </w:pPr>
            <w:r>
              <w:rPr>
                <w:sz w:val="12"/>
                <w:szCs w:val="12"/>
              </w:rPr>
              <w:t> </w:t>
            </w:r>
          </w:p>
        </w:tc>
        <w:tc>
          <w:tcPr>
            <w:tcW w:w="0" w:type="auto"/>
            <w:hideMark/>
          </w:tcPr>
          <w:p w:rsidR="00000000" w:rsidRDefault="006D723D">
            <w:pPr>
              <w:pStyle w:val="a3"/>
              <w:spacing w:before="0" w:beforeAutospacing="0" w:after="0" w:afterAutospacing="0"/>
              <w:jc w:val="center"/>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center"/>
              <w:rPr>
                <w:sz w:val="20"/>
                <w:szCs w:val="20"/>
              </w:rPr>
            </w:pPr>
            <w:hyperlink w:anchor="part_i" w:history="1">
              <w:r>
                <w:rPr>
                  <w:rStyle w:val="a4"/>
                  <w:b/>
                  <w:bCs/>
                  <w:sz w:val="20"/>
                  <w:szCs w:val="20"/>
                </w:rPr>
                <w:t xml:space="preserve">PART </w:t>
              </w:r>
              <w:r>
                <w:rPr>
                  <w:rStyle w:val="a4"/>
                  <w:b/>
                  <w:bCs/>
                  <w:sz w:val="20"/>
                  <w:szCs w:val="20"/>
                </w:rPr>
                <w:t>I</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 </w:t>
            </w:r>
          </w:p>
        </w:tc>
      </w:tr>
      <w:tr w:rsidR="00000000">
        <w:trPr>
          <w:tblCellSpacing w:w="15" w:type="dxa"/>
        </w:trPr>
        <w:tc>
          <w:tcPr>
            <w:tcW w:w="0" w:type="auto"/>
            <w:hideMark/>
          </w:tcPr>
          <w:p w:rsidR="00000000" w:rsidRDefault="006D723D">
            <w:pPr>
              <w:pStyle w:val="a3"/>
              <w:spacing w:before="0" w:beforeAutospacing="0" w:after="0" w:afterAutospacing="0"/>
              <w:jc w:val="both"/>
              <w:rPr>
                <w:sz w:val="12"/>
                <w:szCs w:val="12"/>
              </w:rPr>
            </w:pPr>
            <w:r>
              <w:rPr>
                <w:sz w:val="12"/>
                <w:szCs w:val="12"/>
              </w:rPr>
              <w:t> </w:t>
            </w:r>
          </w:p>
        </w:tc>
        <w:tc>
          <w:tcPr>
            <w:tcW w:w="0" w:type="auto"/>
            <w:hideMark/>
          </w:tcPr>
          <w:p w:rsidR="00000000" w:rsidRDefault="006D723D">
            <w:pPr>
              <w:pStyle w:val="a3"/>
              <w:spacing w:before="0" w:beforeAutospacing="0" w:after="0" w:afterAutospacing="0"/>
              <w:jc w:val="center"/>
              <w:rPr>
                <w:sz w:val="12"/>
                <w:szCs w:val="12"/>
              </w:rPr>
            </w:pPr>
            <w:r>
              <w:rPr>
                <w:sz w:val="12"/>
                <w:szCs w:val="12"/>
              </w:rPr>
              <w:t> </w:t>
            </w:r>
          </w:p>
        </w:tc>
        <w:tc>
          <w:tcPr>
            <w:tcW w:w="0" w:type="auto"/>
            <w:hideMark/>
          </w:tcPr>
          <w:p w:rsidR="00000000" w:rsidRDefault="006D723D">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1</w:t>
            </w:r>
            <w:r>
              <w:rPr>
                <w:sz w:val="20"/>
                <w:szCs w:val="20"/>
              </w:rPr>
              <w:t>.</w:t>
            </w:r>
          </w:p>
        </w:tc>
        <w:tc>
          <w:tcPr>
            <w:tcW w:w="0" w:type="auto"/>
            <w:hideMark/>
          </w:tcPr>
          <w:p w:rsidR="00000000" w:rsidRDefault="006D723D">
            <w:pPr>
              <w:pStyle w:val="a3"/>
              <w:spacing w:before="0" w:beforeAutospacing="0" w:after="0" w:afterAutospacing="0"/>
              <w:jc w:val="both"/>
              <w:rPr>
                <w:sz w:val="20"/>
                <w:szCs w:val="20"/>
              </w:rPr>
            </w:pPr>
            <w:hyperlink w:anchor="item_1_business" w:history="1">
              <w:r>
                <w:rPr>
                  <w:rStyle w:val="a4"/>
                  <w:sz w:val="20"/>
                  <w:szCs w:val="20"/>
                </w:rPr>
                <w:t>Busines</w:t>
              </w:r>
              <w:r>
                <w:rPr>
                  <w:rStyle w:val="a4"/>
                  <w:sz w:val="20"/>
                  <w:szCs w:val="20"/>
                </w:rPr>
                <w:t>s</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7</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ind w:left="245"/>
              <w:jc w:val="both"/>
              <w:rPr>
                <w:sz w:val="20"/>
                <w:szCs w:val="20"/>
              </w:rPr>
            </w:pPr>
            <w:hyperlink w:anchor="overview" w:history="1">
              <w:r>
                <w:rPr>
                  <w:rStyle w:val="a4"/>
                  <w:sz w:val="20"/>
                  <w:szCs w:val="20"/>
                </w:rPr>
                <w:t>Overvie</w:t>
              </w:r>
              <w:r>
                <w:rPr>
                  <w:rStyle w:val="a4"/>
                  <w:sz w:val="20"/>
                  <w:szCs w:val="20"/>
                </w:rPr>
                <w:t>w</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7</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ind w:left="245"/>
              <w:rPr>
                <w:sz w:val="20"/>
                <w:szCs w:val="20"/>
              </w:rPr>
            </w:pPr>
            <w:hyperlink w:anchor="operating_procedures_fender_services" w:history="1">
              <w:r>
                <w:rPr>
                  <w:rStyle w:val="a4"/>
                  <w:sz w:val="20"/>
                  <w:szCs w:val="20"/>
                </w:rPr>
                <w:t>Operating Procedures and Offender Services for Correctional, Detention, and Residential Reentry</w:t>
              </w:r>
              <w:r>
                <w:rPr>
                  <w:color w:val="0000FF"/>
                  <w:sz w:val="20"/>
                  <w:szCs w:val="20"/>
                  <w:u w:val="single"/>
                </w:rPr>
                <w:br/>
              </w:r>
              <w:r>
                <w:rPr>
                  <w:rStyle w:val="a4"/>
                  <w:sz w:val="20"/>
                  <w:szCs w:val="20"/>
                </w:rPr>
                <w:t>Facilitie</w:t>
              </w:r>
              <w:r>
                <w:rPr>
                  <w:rStyle w:val="a4"/>
                  <w:sz w:val="20"/>
                  <w:szCs w:val="20"/>
                </w:rPr>
                <w:t>s</w:t>
              </w:r>
            </w:hyperlink>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p w:rsidR="00000000" w:rsidRDefault="006D723D">
            <w:pPr>
              <w:pStyle w:val="a3"/>
              <w:spacing w:before="0" w:beforeAutospacing="0" w:after="0" w:afterAutospacing="0"/>
              <w:jc w:val="right"/>
              <w:rPr>
                <w:sz w:val="20"/>
                <w:szCs w:val="20"/>
              </w:rPr>
            </w:pPr>
            <w:r>
              <w:rPr>
                <w:sz w:val="20"/>
                <w:szCs w:val="20"/>
              </w:rPr>
              <w:t>9</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ind w:left="245"/>
              <w:jc w:val="both"/>
              <w:rPr>
                <w:sz w:val="20"/>
                <w:szCs w:val="20"/>
              </w:rPr>
            </w:pPr>
            <w:hyperlink w:anchor="business_development" w:history="1">
              <w:r>
                <w:rPr>
                  <w:rStyle w:val="a4"/>
                  <w:sz w:val="20"/>
                  <w:szCs w:val="20"/>
                </w:rPr>
                <w:t>Business Developmen</w:t>
              </w:r>
              <w:r>
                <w:rPr>
                  <w:rStyle w:val="a4"/>
                  <w:sz w:val="20"/>
                  <w:szCs w:val="20"/>
                </w:rPr>
                <w:t>t</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1</w:t>
            </w:r>
            <w:r>
              <w:rPr>
                <w:sz w:val="20"/>
                <w:szCs w:val="20"/>
              </w:rPr>
              <w:t>4</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ind w:left="245"/>
              <w:jc w:val="both"/>
              <w:rPr>
                <w:sz w:val="20"/>
                <w:szCs w:val="20"/>
              </w:rPr>
            </w:pPr>
            <w:hyperlink w:anchor="n2017_accomplishments" w:history="1">
              <w:r>
                <w:rPr>
                  <w:rStyle w:val="a4"/>
                  <w:sz w:val="20"/>
                  <w:szCs w:val="20"/>
                </w:rPr>
                <w:t>2022 Accomplishment</w:t>
              </w:r>
              <w:r>
                <w:rPr>
                  <w:rStyle w:val="a4"/>
                  <w:sz w:val="20"/>
                  <w:szCs w:val="20"/>
                </w:rPr>
                <w:t>s</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1</w:t>
            </w:r>
            <w:r>
              <w:rPr>
                <w:sz w:val="20"/>
                <w:szCs w:val="20"/>
              </w:rPr>
              <w:t>8</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ind w:left="245"/>
              <w:jc w:val="both"/>
              <w:rPr>
                <w:sz w:val="20"/>
                <w:szCs w:val="20"/>
              </w:rPr>
            </w:pPr>
            <w:hyperlink w:anchor="facility_portfolio" w:history="1">
              <w:r>
                <w:rPr>
                  <w:rStyle w:val="a4"/>
                  <w:sz w:val="20"/>
                  <w:szCs w:val="20"/>
                </w:rPr>
                <w:t>Facility Portfoli</w:t>
              </w:r>
              <w:r>
                <w:rPr>
                  <w:rStyle w:val="a4"/>
                  <w:sz w:val="20"/>
                  <w:szCs w:val="20"/>
                </w:rPr>
                <w:t>o</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2</w:t>
            </w:r>
            <w:r>
              <w:rPr>
                <w:sz w:val="20"/>
                <w:szCs w:val="20"/>
              </w:rPr>
              <w:t>1</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ind w:left="245"/>
              <w:jc w:val="both"/>
              <w:rPr>
                <w:sz w:val="20"/>
                <w:szCs w:val="20"/>
              </w:rPr>
            </w:pPr>
            <w:hyperlink w:anchor="competitive_strengths" w:history="1">
              <w:r>
                <w:rPr>
                  <w:rStyle w:val="a4"/>
                  <w:sz w:val="20"/>
                  <w:szCs w:val="20"/>
                </w:rPr>
                <w:t>Competitive Strength</w:t>
              </w:r>
              <w:r>
                <w:rPr>
                  <w:rStyle w:val="a4"/>
                  <w:sz w:val="20"/>
                  <w:szCs w:val="20"/>
                </w:rPr>
                <w:t>s</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2</w:t>
            </w:r>
            <w:r>
              <w:rPr>
                <w:sz w:val="20"/>
                <w:szCs w:val="20"/>
              </w:rPr>
              <w:t>9</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ind w:left="245"/>
              <w:jc w:val="both"/>
              <w:rPr>
                <w:sz w:val="20"/>
                <w:szCs w:val="20"/>
              </w:rPr>
            </w:pPr>
            <w:hyperlink w:anchor="human_capital" w:history="1">
              <w:r>
                <w:rPr>
                  <w:rStyle w:val="a4"/>
                  <w:sz w:val="20"/>
                  <w:szCs w:val="20"/>
                </w:rPr>
                <w:t>Human Capita</w:t>
              </w:r>
              <w:r>
                <w:rPr>
                  <w:rStyle w:val="a4"/>
                  <w:sz w:val="20"/>
                  <w:szCs w:val="20"/>
                </w:rPr>
                <w:t>l</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3</w:t>
            </w:r>
            <w:r>
              <w:rPr>
                <w:sz w:val="20"/>
                <w:szCs w:val="20"/>
              </w:rPr>
              <w:t>4</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ind w:left="245"/>
              <w:jc w:val="both"/>
              <w:rPr>
                <w:sz w:val="20"/>
                <w:szCs w:val="20"/>
              </w:rPr>
            </w:pPr>
            <w:hyperlink w:anchor="government_regulation" w:history="1">
              <w:r>
                <w:rPr>
                  <w:rStyle w:val="a4"/>
                  <w:sz w:val="20"/>
                  <w:szCs w:val="20"/>
                </w:rPr>
                <w:t>Government Regulat</w:t>
              </w:r>
              <w:r>
                <w:rPr>
                  <w:rStyle w:val="a4"/>
                  <w:sz w:val="20"/>
                  <w:szCs w:val="20"/>
                </w:rPr>
                <w:t>io</w:t>
              </w:r>
              <w:r>
                <w:rPr>
                  <w:rStyle w:val="a4"/>
                  <w:sz w:val="20"/>
                  <w:szCs w:val="20"/>
                </w:rPr>
                <w:t>n</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3</w:t>
            </w:r>
            <w:r>
              <w:rPr>
                <w:sz w:val="20"/>
                <w:szCs w:val="20"/>
              </w:rPr>
              <w:t>7</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ind w:left="245"/>
              <w:jc w:val="both"/>
              <w:rPr>
                <w:sz w:val="20"/>
                <w:szCs w:val="20"/>
              </w:rPr>
            </w:pPr>
            <w:hyperlink w:anchor="insurance" w:history="1">
              <w:r>
                <w:rPr>
                  <w:rStyle w:val="a4"/>
                  <w:sz w:val="20"/>
                  <w:szCs w:val="20"/>
                </w:rPr>
                <w:t>Insuranc</w:t>
              </w:r>
              <w:r>
                <w:rPr>
                  <w:rStyle w:val="a4"/>
                  <w:sz w:val="20"/>
                  <w:szCs w:val="20"/>
                </w:rPr>
                <w:t>e</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3</w:t>
            </w:r>
            <w:r>
              <w:rPr>
                <w:sz w:val="20"/>
                <w:szCs w:val="20"/>
              </w:rPr>
              <w:t>9</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ind w:left="245"/>
              <w:jc w:val="both"/>
              <w:rPr>
                <w:sz w:val="20"/>
                <w:szCs w:val="20"/>
              </w:rPr>
            </w:pPr>
            <w:hyperlink w:anchor="competition" w:history="1">
              <w:r>
                <w:rPr>
                  <w:rStyle w:val="a4"/>
                  <w:sz w:val="20"/>
                  <w:szCs w:val="20"/>
                </w:rPr>
                <w:t>Competitio</w:t>
              </w:r>
              <w:r>
                <w:rPr>
                  <w:rStyle w:val="a4"/>
                  <w:sz w:val="20"/>
                  <w:szCs w:val="20"/>
                </w:rPr>
                <w:t>n</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3</w:t>
            </w:r>
            <w:r>
              <w:rPr>
                <w:sz w:val="20"/>
                <w:szCs w:val="20"/>
              </w:rPr>
              <w:t>9</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1A</w:t>
            </w:r>
            <w:r>
              <w:rPr>
                <w:sz w:val="20"/>
                <w:szCs w:val="20"/>
              </w:rPr>
              <w:t>.</w:t>
            </w:r>
          </w:p>
        </w:tc>
        <w:tc>
          <w:tcPr>
            <w:tcW w:w="0" w:type="auto"/>
            <w:hideMark/>
          </w:tcPr>
          <w:p w:rsidR="00000000" w:rsidRDefault="006D723D">
            <w:pPr>
              <w:pStyle w:val="a3"/>
              <w:spacing w:before="0" w:beforeAutospacing="0" w:after="0" w:afterAutospacing="0"/>
              <w:jc w:val="both"/>
              <w:rPr>
                <w:sz w:val="20"/>
                <w:szCs w:val="20"/>
              </w:rPr>
            </w:pPr>
            <w:hyperlink w:anchor="item_1a_risk_factors" w:history="1">
              <w:r>
                <w:rPr>
                  <w:rStyle w:val="a4"/>
                  <w:sz w:val="20"/>
                  <w:szCs w:val="20"/>
                </w:rPr>
                <w:t>Risk Factor</w:t>
              </w:r>
              <w:r>
                <w:rPr>
                  <w:rStyle w:val="a4"/>
                  <w:sz w:val="20"/>
                  <w:szCs w:val="20"/>
                </w:rPr>
                <w:t>s</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4</w:t>
            </w:r>
            <w:r>
              <w:rPr>
                <w:sz w:val="20"/>
                <w:szCs w:val="20"/>
              </w:rPr>
              <w:t>0</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1B</w:t>
            </w:r>
            <w:r>
              <w:rPr>
                <w:sz w:val="20"/>
                <w:szCs w:val="20"/>
              </w:rPr>
              <w:t>.</w:t>
            </w:r>
          </w:p>
        </w:tc>
        <w:tc>
          <w:tcPr>
            <w:tcW w:w="0" w:type="auto"/>
            <w:hideMark/>
          </w:tcPr>
          <w:p w:rsidR="00000000" w:rsidRDefault="006D723D">
            <w:pPr>
              <w:pStyle w:val="a3"/>
              <w:spacing w:before="0" w:beforeAutospacing="0" w:after="0" w:afterAutospacing="0"/>
              <w:jc w:val="both"/>
              <w:rPr>
                <w:sz w:val="20"/>
                <w:szCs w:val="20"/>
              </w:rPr>
            </w:pPr>
            <w:hyperlink w:anchor="item_1b_unresolved_staff_comments" w:history="1">
              <w:r>
                <w:rPr>
                  <w:rStyle w:val="a4"/>
                  <w:sz w:val="20"/>
                  <w:szCs w:val="20"/>
                </w:rPr>
                <w:t>Unresolved Staff Comment</w:t>
              </w:r>
              <w:r>
                <w:rPr>
                  <w:rStyle w:val="a4"/>
                  <w:sz w:val="20"/>
                  <w:szCs w:val="20"/>
                </w:rPr>
                <w:t>s</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6</w:t>
            </w:r>
            <w:r>
              <w:rPr>
                <w:sz w:val="20"/>
                <w:szCs w:val="20"/>
              </w:rPr>
              <w:t>2</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2</w:t>
            </w:r>
            <w:r>
              <w:rPr>
                <w:sz w:val="20"/>
                <w:szCs w:val="20"/>
              </w:rPr>
              <w:t>.</w:t>
            </w:r>
          </w:p>
        </w:tc>
        <w:tc>
          <w:tcPr>
            <w:tcW w:w="0" w:type="auto"/>
            <w:hideMark/>
          </w:tcPr>
          <w:p w:rsidR="00000000" w:rsidRDefault="006D723D">
            <w:pPr>
              <w:pStyle w:val="a3"/>
              <w:spacing w:before="0" w:beforeAutospacing="0" w:after="0" w:afterAutospacing="0"/>
              <w:jc w:val="both"/>
              <w:rPr>
                <w:sz w:val="20"/>
                <w:szCs w:val="20"/>
              </w:rPr>
            </w:pPr>
            <w:hyperlink w:anchor="item_2_properties" w:history="1">
              <w:r>
                <w:rPr>
                  <w:rStyle w:val="a4"/>
                  <w:sz w:val="20"/>
                  <w:szCs w:val="20"/>
                </w:rPr>
                <w:t>Propertie</w:t>
              </w:r>
              <w:r>
                <w:rPr>
                  <w:rStyle w:val="a4"/>
                  <w:sz w:val="20"/>
                  <w:szCs w:val="20"/>
                </w:rPr>
                <w:t>s</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6</w:t>
            </w:r>
            <w:r>
              <w:rPr>
                <w:sz w:val="20"/>
                <w:szCs w:val="20"/>
              </w:rPr>
              <w:t>2</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3</w:t>
            </w:r>
            <w:r>
              <w:rPr>
                <w:sz w:val="20"/>
                <w:szCs w:val="20"/>
              </w:rPr>
              <w:t>.</w:t>
            </w:r>
          </w:p>
        </w:tc>
        <w:tc>
          <w:tcPr>
            <w:tcW w:w="0" w:type="auto"/>
            <w:hideMark/>
          </w:tcPr>
          <w:p w:rsidR="00000000" w:rsidRDefault="006D723D">
            <w:pPr>
              <w:pStyle w:val="a3"/>
              <w:spacing w:before="0" w:beforeAutospacing="0" w:after="0" w:afterAutospacing="0"/>
              <w:jc w:val="both"/>
              <w:rPr>
                <w:sz w:val="20"/>
                <w:szCs w:val="20"/>
              </w:rPr>
            </w:pPr>
            <w:hyperlink w:anchor="item_3_legal_proceedings" w:history="1">
              <w:r>
                <w:rPr>
                  <w:rStyle w:val="a4"/>
                  <w:sz w:val="20"/>
                  <w:szCs w:val="20"/>
                </w:rPr>
                <w:t>Legal Proceeding</w:t>
              </w:r>
              <w:r>
                <w:rPr>
                  <w:rStyle w:val="a4"/>
                  <w:sz w:val="20"/>
                  <w:szCs w:val="20"/>
                </w:rPr>
                <w:t>s</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6</w:t>
            </w:r>
            <w:r>
              <w:rPr>
                <w:sz w:val="20"/>
                <w:szCs w:val="20"/>
              </w:rPr>
              <w:t>2</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4</w:t>
            </w:r>
            <w:r>
              <w:rPr>
                <w:sz w:val="20"/>
                <w:szCs w:val="20"/>
              </w:rPr>
              <w:t>.</w:t>
            </w:r>
          </w:p>
        </w:tc>
        <w:tc>
          <w:tcPr>
            <w:tcW w:w="0" w:type="auto"/>
            <w:hideMark/>
          </w:tcPr>
          <w:p w:rsidR="00000000" w:rsidRDefault="006D723D">
            <w:pPr>
              <w:pStyle w:val="a3"/>
              <w:spacing w:before="0" w:beforeAutospacing="0" w:after="0" w:afterAutospacing="0"/>
              <w:jc w:val="both"/>
              <w:rPr>
                <w:sz w:val="20"/>
                <w:szCs w:val="20"/>
              </w:rPr>
            </w:pPr>
            <w:hyperlink w:anchor="item_4_mine_safety_disclosures_" w:history="1">
              <w:r>
                <w:rPr>
                  <w:rStyle w:val="a4"/>
                  <w:sz w:val="20"/>
                  <w:szCs w:val="20"/>
                </w:rPr>
                <w:t>Mine Safety Disclosure</w:t>
              </w:r>
              <w:r>
                <w:rPr>
                  <w:rStyle w:val="a4"/>
                  <w:sz w:val="20"/>
                  <w:szCs w:val="20"/>
                </w:rPr>
                <w:t>s</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6</w:t>
            </w:r>
            <w:r>
              <w:rPr>
                <w:sz w:val="20"/>
                <w:szCs w:val="20"/>
              </w:rPr>
              <w:t>2</w:t>
            </w:r>
          </w:p>
        </w:tc>
      </w:tr>
      <w:tr w:rsidR="00000000">
        <w:trPr>
          <w:tblCellSpacing w:w="15" w:type="dxa"/>
        </w:trPr>
        <w:tc>
          <w:tcPr>
            <w:tcW w:w="0" w:type="auto"/>
            <w:hideMark/>
          </w:tcPr>
          <w:p w:rsidR="00000000" w:rsidRDefault="006D723D">
            <w:pPr>
              <w:pStyle w:val="a3"/>
              <w:spacing w:before="0" w:beforeAutospacing="0" w:after="0" w:afterAutospacing="0"/>
              <w:jc w:val="both"/>
              <w:rPr>
                <w:sz w:val="12"/>
                <w:szCs w:val="12"/>
              </w:rPr>
            </w:pPr>
            <w:r>
              <w:rPr>
                <w:sz w:val="12"/>
                <w:szCs w:val="12"/>
              </w:rPr>
              <w:t> </w:t>
            </w:r>
          </w:p>
        </w:tc>
        <w:tc>
          <w:tcPr>
            <w:tcW w:w="0" w:type="auto"/>
            <w:hideMark/>
          </w:tcPr>
          <w:p w:rsidR="00000000" w:rsidRDefault="006D723D">
            <w:pPr>
              <w:pStyle w:val="a3"/>
              <w:spacing w:before="0" w:beforeAutospacing="0" w:after="0" w:afterAutospacing="0"/>
              <w:jc w:val="center"/>
              <w:rPr>
                <w:sz w:val="12"/>
                <w:szCs w:val="12"/>
              </w:rPr>
            </w:pPr>
            <w:r>
              <w:rPr>
                <w:sz w:val="12"/>
                <w:szCs w:val="12"/>
              </w:rPr>
              <w:t> </w:t>
            </w:r>
          </w:p>
        </w:tc>
        <w:tc>
          <w:tcPr>
            <w:tcW w:w="0" w:type="auto"/>
            <w:hideMark/>
          </w:tcPr>
          <w:p w:rsidR="00000000" w:rsidRDefault="006D723D">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center"/>
              <w:rPr>
                <w:sz w:val="20"/>
                <w:szCs w:val="20"/>
              </w:rPr>
            </w:pPr>
            <w:hyperlink w:anchor="part_ii" w:history="1">
              <w:r>
                <w:rPr>
                  <w:rStyle w:val="a4"/>
                  <w:b/>
                  <w:bCs/>
                  <w:sz w:val="20"/>
                  <w:szCs w:val="20"/>
                </w:rPr>
                <w:t>PART I</w:t>
              </w:r>
              <w:r>
                <w:rPr>
                  <w:rStyle w:val="a4"/>
                  <w:b/>
                  <w:bCs/>
                  <w:sz w:val="20"/>
                  <w:szCs w:val="20"/>
                </w:rPr>
                <w:t>I</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 </w:t>
            </w:r>
          </w:p>
        </w:tc>
      </w:tr>
      <w:tr w:rsidR="00000000">
        <w:trPr>
          <w:tblCellSpacing w:w="15" w:type="dxa"/>
        </w:trPr>
        <w:tc>
          <w:tcPr>
            <w:tcW w:w="0" w:type="auto"/>
            <w:hideMark/>
          </w:tcPr>
          <w:p w:rsidR="00000000" w:rsidRDefault="006D723D">
            <w:pPr>
              <w:pStyle w:val="a3"/>
              <w:spacing w:before="0" w:beforeAutospacing="0" w:after="0" w:afterAutospacing="0"/>
              <w:jc w:val="both"/>
              <w:rPr>
                <w:sz w:val="12"/>
                <w:szCs w:val="12"/>
              </w:rPr>
            </w:pPr>
            <w:r>
              <w:rPr>
                <w:sz w:val="12"/>
                <w:szCs w:val="12"/>
              </w:rPr>
              <w:t> </w:t>
            </w:r>
          </w:p>
        </w:tc>
        <w:tc>
          <w:tcPr>
            <w:tcW w:w="0" w:type="auto"/>
            <w:hideMark/>
          </w:tcPr>
          <w:p w:rsidR="00000000" w:rsidRDefault="006D723D">
            <w:pPr>
              <w:pStyle w:val="a3"/>
              <w:spacing w:before="0" w:beforeAutospacing="0" w:after="0" w:afterAutospacing="0"/>
              <w:jc w:val="center"/>
              <w:rPr>
                <w:sz w:val="12"/>
                <w:szCs w:val="12"/>
              </w:rPr>
            </w:pPr>
            <w:r>
              <w:rPr>
                <w:sz w:val="12"/>
                <w:szCs w:val="12"/>
              </w:rPr>
              <w:t> </w:t>
            </w:r>
          </w:p>
        </w:tc>
        <w:tc>
          <w:tcPr>
            <w:tcW w:w="0" w:type="auto"/>
            <w:hideMark/>
          </w:tcPr>
          <w:p w:rsidR="00000000" w:rsidRDefault="006D723D">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5</w:t>
            </w:r>
            <w:r>
              <w:rPr>
                <w:sz w:val="20"/>
                <w:szCs w:val="20"/>
              </w:rPr>
              <w:t>.</w:t>
            </w:r>
          </w:p>
        </w:tc>
        <w:tc>
          <w:tcPr>
            <w:tcW w:w="0" w:type="auto"/>
            <w:hideMark/>
          </w:tcPr>
          <w:p w:rsidR="00000000" w:rsidRDefault="006D723D">
            <w:pPr>
              <w:pStyle w:val="a3"/>
              <w:spacing w:before="0" w:beforeAutospacing="0" w:after="0" w:afterAutospacing="0"/>
              <w:rPr>
                <w:sz w:val="20"/>
                <w:szCs w:val="20"/>
              </w:rPr>
            </w:pPr>
            <w:hyperlink w:anchor="item_5_market_for_registrants_common_eq" w:history="1">
              <w:r>
                <w:rPr>
                  <w:rStyle w:val="a4"/>
                  <w:sz w:val="20"/>
                  <w:szCs w:val="20"/>
                </w:rPr>
                <w:t>Market for Registrant's Common Equity, Related Stockholder Matters and Issuer Purchases of Equity Securitie</w:t>
              </w:r>
              <w:r>
                <w:rPr>
                  <w:rStyle w:val="a4"/>
                  <w:sz w:val="20"/>
                  <w:szCs w:val="20"/>
                </w:rPr>
                <w:t>s</w:t>
              </w:r>
            </w:hyperlink>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w:t>
            </w:r>
            <w:r>
              <w:rPr>
                <w:sz w:val="20"/>
                <w:szCs w:val="20"/>
              </w:rPr>
              <w:t>3</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ind w:left="245"/>
              <w:jc w:val="both"/>
              <w:rPr>
                <w:sz w:val="20"/>
                <w:szCs w:val="20"/>
              </w:rPr>
            </w:pPr>
            <w:hyperlink w:anchor="market_price__distributions_on_capital_" w:history="1">
              <w:r>
                <w:rPr>
                  <w:rStyle w:val="a4"/>
                  <w:sz w:val="20"/>
                  <w:szCs w:val="20"/>
                </w:rPr>
                <w:t>Market Price of and Distributions on Capital Stoc</w:t>
              </w:r>
              <w:r>
                <w:rPr>
                  <w:rStyle w:val="a4"/>
                  <w:sz w:val="20"/>
                  <w:szCs w:val="20"/>
                </w:rPr>
                <w:t>k</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6</w:t>
            </w:r>
            <w:r>
              <w:rPr>
                <w:sz w:val="20"/>
                <w:szCs w:val="20"/>
              </w:rPr>
              <w:t>3</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ind w:left="245"/>
              <w:jc w:val="both"/>
              <w:rPr>
                <w:sz w:val="20"/>
                <w:szCs w:val="20"/>
              </w:rPr>
            </w:pPr>
            <w:hyperlink w:anchor="dividend_policy" w:history="1">
              <w:r>
                <w:rPr>
                  <w:rStyle w:val="a4"/>
                  <w:sz w:val="20"/>
                  <w:szCs w:val="20"/>
                </w:rPr>
                <w:t>Dividend Polic</w:t>
              </w:r>
              <w:r>
                <w:rPr>
                  <w:rStyle w:val="a4"/>
                  <w:sz w:val="20"/>
                  <w:szCs w:val="20"/>
                </w:rPr>
                <w:t>y</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6</w:t>
            </w:r>
            <w:r>
              <w:rPr>
                <w:sz w:val="20"/>
                <w:szCs w:val="20"/>
              </w:rPr>
              <w:t>3</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ind w:left="245"/>
              <w:jc w:val="both"/>
              <w:rPr>
                <w:sz w:val="20"/>
                <w:szCs w:val="20"/>
              </w:rPr>
            </w:pPr>
            <w:hyperlink w:anchor="issuer_purchases_equity_securities" w:history="1">
              <w:r>
                <w:rPr>
                  <w:rStyle w:val="a4"/>
                  <w:sz w:val="20"/>
                  <w:szCs w:val="20"/>
                </w:rPr>
                <w:t>Issuer Purchases of Equity Securitie</w:t>
              </w:r>
              <w:r>
                <w:rPr>
                  <w:rStyle w:val="a4"/>
                  <w:sz w:val="20"/>
                  <w:szCs w:val="20"/>
                </w:rPr>
                <w:t>s</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6</w:t>
            </w:r>
            <w:r>
              <w:rPr>
                <w:sz w:val="20"/>
                <w:szCs w:val="20"/>
              </w:rPr>
              <w:t>3</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6</w:t>
            </w:r>
            <w:r>
              <w:rPr>
                <w:sz w:val="20"/>
                <w:szCs w:val="20"/>
              </w:rPr>
              <w:t>.</w:t>
            </w:r>
          </w:p>
        </w:tc>
        <w:tc>
          <w:tcPr>
            <w:tcW w:w="0" w:type="auto"/>
            <w:hideMark/>
          </w:tcPr>
          <w:p w:rsidR="00000000" w:rsidRDefault="006D723D">
            <w:pPr>
              <w:pStyle w:val="a3"/>
              <w:spacing w:before="0" w:beforeAutospacing="0" w:after="0" w:afterAutospacing="0"/>
              <w:jc w:val="both"/>
              <w:rPr>
                <w:sz w:val="20"/>
                <w:szCs w:val="20"/>
              </w:rPr>
            </w:pPr>
            <w:hyperlink w:anchor="item_6" w:history="1">
              <w:r>
                <w:rPr>
                  <w:rStyle w:val="a4"/>
                  <w:sz w:val="20"/>
                  <w:szCs w:val="20"/>
                </w:rPr>
                <w:t>Reserve</w:t>
              </w:r>
              <w:r>
                <w:rPr>
                  <w:rStyle w:val="a4"/>
                  <w:sz w:val="20"/>
                  <w:szCs w:val="20"/>
                </w:rPr>
                <w:t>d</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6</w:t>
            </w:r>
            <w:r>
              <w:rPr>
                <w:sz w:val="20"/>
                <w:szCs w:val="20"/>
              </w:rPr>
              <w:t>3</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7</w:t>
            </w:r>
            <w:r>
              <w:rPr>
                <w:sz w:val="20"/>
                <w:szCs w:val="20"/>
              </w:rPr>
              <w:t>.</w:t>
            </w:r>
          </w:p>
        </w:tc>
        <w:tc>
          <w:tcPr>
            <w:tcW w:w="0" w:type="auto"/>
            <w:hideMark/>
          </w:tcPr>
          <w:p w:rsidR="00000000" w:rsidRDefault="006D723D">
            <w:pPr>
              <w:pStyle w:val="a3"/>
              <w:spacing w:before="0" w:beforeAutospacing="0" w:after="0" w:afterAutospacing="0"/>
              <w:jc w:val="both"/>
              <w:rPr>
                <w:sz w:val="20"/>
                <w:szCs w:val="20"/>
              </w:rPr>
            </w:pPr>
            <w:hyperlink w:anchor="item_7_managements_discussion_analysis_" w:history="1">
              <w:r>
                <w:rPr>
                  <w:rStyle w:val="a4"/>
                  <w:sz w:val="20"/>
                  <w:szCs w:val="20"/>
                </w:rPr>
                <w:t>Management's Discussion and Analysis of Financial Condition and Results of Operation</w:t>
              </w:r>
              <w:r>
                <w:rPr>
                  <w:rStyle w:val="a4"/>
                  <w:sz w:val="20"/>
                  <w:szCs w:val="20"/>
                </w:rPr>
                <w:t>s</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6</w:t>
            </w:r>
            <w:r>
              <w:rPr>
                <w:sz w:val="20"/>
                <w:szCs w:val="20"/>
              </w:rPr>
              <w:t>4</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ind w:left="245"/>
              <w:jc w:val="both"/>
              <w:rPr>
                <w:sz w:val="20"/>
                <w:szCs w:val="20"/>
              </w:rPr>
            </w:pPr>
            <w:hyperlink w:anchor="item_7_overview" w:history="1">
              <w:r>
                <w:rPr>
                  <w:rStyle w:val="a4"/>
                  <w:sz w:val="20"/>
                  <w:szCs w:val="20"/>
                </w:rPr>
                <w:t>Overvie</w:t>
              </w:r>
              <w:r>
                <w:rPr>
                  <w:rStyle w:val="a4"/>
                  <w:sz w:val="20"/>
                  <w:szCs w:val="20"/>
                </w:rPr>
                <w:t>w</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6</w:t>
            </w:r>
            <w:r>
              <w:rPr>
                <w:sz w:val="20"/>
                <w:szCs w:val="20"/>
              </w:rPr>
              <w:t>4</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ind w:left="245"/>
              <w:jc w:val="both"/>
              <w:rPr>
                <w:sz w:val="20"/>
                <w:szCs w:val="20"/>
              </w:rPr>
            </w:pPr>
            <w:hyperlink w:anchor="critical_accounting_policies" w:history="1">
              <w:r>
                <w:rPr>
                  <w:rStyle w:val="a4"/>
                  <w:sz w:val="20"/>
                  <w:szCs w:val="20"/>
                </w:rPr>
                <w:t>Critical Accounting Policies and Estimate</w:t>
              </w:r>
              <w:r>
                <w:rPr>
                  <w:rStyle w:val="a4"/>
                  <w:sz w:val="20"/>
                  <w:szCs w:val="20"/>
                </w:rPr>
                <w:t>s</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6</w:t>
            </w:r>
            <w:r>
              <w:rPr>
                <w:sz w:val="20"/>
                <w:szCs w:val="20"/>
              </w:rPr>
              <w:t>9</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ind w:left="245"/>
              <w:jc w:val="both"/>
              <w:rPr>
                <w:sz w:val="20"/>
                <w:szCs w:val="20"/>
              </w:rPr>
            </w:pPr>
            <w:hyperlink w:anchor="results_of_operations" w:history="1">
              <w:r>
                <w:rPr>
                  <w:rStyle w:val="a4"/>
                  <w:sz w:val="20"/>
                  <w:szCs w:val="20"/>
                </w:rPr>
                <w:t>Results of Operation</w:t>
              </w:r>
              <w:r>
                <w:rPr>
                  <w:rStyle w:val="a4"/>
                  <w:sz w:val="20"/>
                  <w:szCs w:val="20"/>
                </w:rPr>
                <w:t>s</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7</w:t>
            </w:r>
            <w:r>
              <w:rPr>
                <w:sz w:val="20"/>
                <w:szCs w:val="20"/>
              </w:rPr>
              <w:t>1</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ind w:left="245"/>
              <w:jc w:val="both"/>
              <w:rPr>
                <w:sz w:val="20"/>
                <w:szCs w:val="20"/>
              </w:rPr>
            </w:pPr>
            <w:hyperlink w:anchor="liquidity_capital_resources" w:history="1">
              <w:r>
                <w:rPr>
                  <w:rStyle w:val="a4"/>
                  <w:sz w:val="20"/>
                  <w:szCs w:val="20"/>
                </w:rPr>
                <w:t>Liquidity and Capital Resource</w:t>
              </w:r>
              <w:r>
                <w:rPr>
                  <w:rStyle w:val="a4"/>
                  <w:sz w:val="20"/>
                  <w:szCs w:val="20"/>
                </w:rPr>
                <w:t>s</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8</w:t>
            </w:r>
            <w:r>
              <w:rPr>
                <w:sz w:val="20"/>
                <w:szCs w:val="20"/>
              </w:rPr>
              <w:t>7</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ind w:left="245"/>
              <w:jc w:val="both"/>
              <w:rPr>
                <w:sz w:val="20"/>
                <w:szCs w:val="20"/>
              </w:rPr>
            </w:pPr>
            <w:hyperlink w:anchor="inflation" w:history="1">
              <w:r>
                <w:rPr>
                  <w:rStyle w:val="a4"/>
                  <w:sz w:val="20"/>
                  <w:szCs w:val="20"/>
                </w:rPr>
                <w:t>Inflatio</w:t>
              </w:r>
              <w:r>
                <w:rPr>
                  <w:rStyle w:val="a4"/>
                  <w:sz w:val="20"/>
                  <w:szCs w:val="20"/>
                </w:rPr>
                <w:t>n</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9</w:t>
            </w:r>
            <w:r>
              <w:rPr>
                <w:sz w:val="20"/>
                <w:szCs w:val="20"/>
              </w:rPr>
              <w:t>3</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lastRenderedPageBreak/>
              <w:t> </w:t>
            </w:r>
          </w:p>
        </w:tc>
        <w:tc>
          <w:tcPr>
            <w:tcW w:w="0" w:type="auto"/>
            <w:hideMark/>
          </w:tcPr>
          <w:p w:rsidR="00000000" w:rsidRDefault="006D723D">
            <w:pPr>
              <w:pStyle w:val="a3"/>
              <w:spacing w:before="0" w:beforeAutospacing="0" w:after="0" w:afterAutospacing="0"/>
              <w:ind w:left="245"/>
              <w:jc w:val="both"/>
              <w:rPr>
                <w:sz w:val="20"/>
                <w:szCs w:val="20"/>
              </w:rPr>
            </w:pPr>
            <w:hyperlink w:anchor="seasonality_quarterly_results" w:history="1">
              <w:r>
                <w:rPr>
                  <w:rStyle w:val="a4"/>
                  <w:sz w:val="20"/>
                  <w:szCs w:val="20"/>
                </w:rPr>
                <w:t>Seasonality and Quarterly Result</w:t>
              </w:r>
              <w:r>
                <w:rPr>
                  <w:rStyle w:val="a4"/>
                  <w:sz w:val="20"/>
                  <w:szCs w:val="20"/>
                </w:rPr>
                <w:t>s</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9</w:t>
            </w:r>
            <w:r>
              <w:rPr>
                <w:sz w:val="20"/>
                <w:szCs w:val="20"/>
              </w:rPr>
              <w:t>3</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7A</w:t>
            </w:r>
            <w:r>
              <w:rPr>
                <w:sz w:val="20"/>
                <w:szCs w:val="20"/>
              </w:rPr>
              <w:t>.</w:t>
            </w:r>
          </w:p>
        </w:tc>
        <w:tc>
          <w:tcPr>
            <w:tcW w:w="0" w:type="auto"/>
            <w:hideMark/>
          </w:tcPr>
          <w:p w:rsidR="00000000" w:rsidRDefault="006D723D">
            <w:pPr>
              <w:pStyle w:val="a3"/>
              <w:spacing w:before="0" w:beforeAutospacing="0" w:after="0" w:afterAutospacing="0"/>
              <w:jc w:val="both"/>
              <w:rPr>
                <w:sz w:val="20"/>
                <w:szCs w:val="20"/>
              </w:rPr>
            </w:pPr>
            <w:hyperlink w:anchor="item_7a_quantitative_qualitative_disclo" w:history="1">
              <w:r>
                <w:rPr>
                  <w:rStyle w:val="a4"/>
                  <w:sz w:val="20"/>
                  <w:szCs w:val="20"/>
                </w:rPr>
                <w:t>Quantitative and Qualitative Disclosures about Market Ris</w:t>
              </w:r>
              <w:r>
                <w:rPr>
                  <w:rStyle w:val="a4"/>
                  <w:sz w:val="20"/>
                  <w:szCs w:val="20"/>
                </w:rPr>
                <w:t>k</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9</w:t>
            </w:r>
            <w:r>
              <w:rPr>
                <w:sz w:val="20"/>
                <w:szCs w:val="20"/>
              </w:rPr>
              <w:t>3</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8</w:t>
            </w:r>
            <w:r>
              <w:rPr>
                <w:sz w:val="20"/>
                <w:szCs w:val="20"/>
              </w:rPr>
              <w:t>.</w:t>
            </w:r>
          </w:p>
        </w:tc>
        <w:tc>
          <w:tcPr>
            <w:tcW w:w="0" w:type="auto"/>
            <w:hideMark/>
          </w:tcPr>
          <w:p w:rsidR="00000000" w:rsidRDefault="006D723D">
            <w:pPr>
              <w:pStyle w:val="a3"/>
              <w:spacing w:before="0" w:beforeAutospacing="0" w:after="0" w:afterAutospacing="0"/>
              <w:jc w:val="both"/>
              <w:rPr>
                <w:sz w:val="20"/>
                <w:szCs w:val="20"/>
              </w:rPr>
            </w:pPr>
            <w:hyperlink w:anchor="item_8_financial_statements_supplementa" w:history="1">
              <w:r>
                <w:rPr>
                  <w:rStyle w:val="a4"/>
                  <w:sz w:val="20"/>
                  <w:szCs w:val="20"/>
                </w:rPr>
                <w:t>Financial Statements and Supplementary Dat</w:t>
              </w:r>
              <w:r>
                <w:rPr>
                  <w:rStyle w:val="a4"/>
                  <w:sz w:val="20"/>
                  <w:szCs w:val="20"/>
                </w:rPr>
                <w:t>a</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9</w:t>
            </w:r>
            <w:r>
              <w:rPr>
                <w:sz w:val="20"/>
                <w:szCs w:val="20"/>
              </w:rPr>
              <w:t>3</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9</w:t>
            </w:r>
            <w:r>
              <w:rPr>
                <w:sz w:val="20"/>
                <w:szCs w:val="20"/>
              </w:rPr>
              <w:t>.</w:t>
            </w:r>
          </w:p>
        </w:tc>
        <w:tc>
          <w:tcPr>
            <w:tcW w:w="0" w:type="auto"/>
            <w:hideMark/>
          </w:tcPr>
          <w:p w:rsidR="00000000" w:rsidRDefault="006D723D">
            <w:pPr>
              <w:pStyle w:val="a3"/>
              <w:spacing w:before="0" w:beforeAutospacing="0" w:after="0" w:afterAutospacing="0"/>
              <w:jc w:val="both"/>
              <w:rPr>
                <w:sz w:val="20"/>
                <w:szCs w:val="20"/>
              </w:rPr>
            </w:pPr>
            <w:hyperlink w:anchor="item_9_changes_in_disagreements_with_ac" w:history="1">
              <w:r>
                <w:rPr>
                  <w:rStyle w:val="a4"/>
                  <w:sz w:val="20"/>
                  <w:szCs w:val="20"/>
                </w:rPr>
                <w:t xml:space="preserve">Changes in and </w:t>
              </w:r>
              <w:r>
                <w:rPr>
                  <w:rStyle w:val="a4"/>
                  <w:sz w:val="20"/>
                  <w:szCs w:val="20"/>
                </w:rPr>
                <w:t>Disagreements with Accountants on Accounting and Financial Disclosur</w:t>
              </w:r>
              <w:r>
                <w:rPr>
                  <w:rStyle w:val="a4"/>
                  <w:sz w:val="20"/>
                  <w:szCs w:val="20"/>
                </w:rPr>
                <w:t>e</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9</w:t>
            </w:r>
            <w:r>
              <w:rPr>
                <w:sz w:val="20"/>
                <w:szCs w:val="20"/>
              </w:rPr>
              <w:t>4</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9A</w:t>
            </w:r>
            <w:r>
              <w:rPr>
                <w:sz w:val="20"/>
                <w:szCs w:val="20"/>
              </w:rPr>
              <w:t>.</w:t>
            </w:r>
          </w:p>
        </w:tc>
        <w:tc>
          <w:tcPr>
            <w:tcW w:w="0" w:type="auto"/>
            <w:hideMark/>
          </w:tcPr>
          <w:p w:rsidR="00000000" w:rsidRDefault="006D723D">
            <w:pPr>
              <w:pStyle w:val="a3"/>
              <w:spacing w:before="0" w:beforeAutospacing="0" w:after="0" w:afterAutospacing="0"/>
              <w:jc w:val="both"/>
              <w:rPr>
                <w:sz w:val="20"/>
                <w:szCs w:val="20"/>
              </w:rPr>
            </w:pPr>
            <w:hyperlink w:anchor="item_9a_controls_procedures" w:history="1">
              <w:r>
                <w:rPr>
                  <w:rStyle w:val="a4"/>
                  <w:sz w:val="20"/>
                  <w:szCs w:val="20"/>
                </w:rPr>
                <w:t>Controls and Procedure</w:t>
              </w:r>
              <w:r>
                <w:rPr>
                  <w:rStyle w:val="a4"/>
                  <w:sz w:val="20"/>
                  <w:szCs w:val="20"/>
                </w:rPr>
                <w:t>s</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9</w:t>
            </w:r>
            <w:r>
              <w:rPr>
                <w:sz w:val="20"/>
                <w:szCs w:val="20"/>
              </w:rPr>
              <w:t>4</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9B</w:t>
            </w:r>
            <w:r>
              <w:rPr>
                <w:sz w:val="20"/>
                <w:szCs w:val="20"/>
              </w:rPr>
              <w:t>.</w:t>
            </w:r>
          </w:p>
        </w:tc>
        <w:tc>
          <w:tcPr>
            <w:tcW w:w="0" w:type="auto"/>
            <w:hideMark/>
          </w:tcPr>
          <w:p w:rsidR="00000000" w:rsidRDefault="006D723D">
            <w:pPr>
              <w:pStyle w:val="a3"/>
              <w:spacing w:before="0" w:beforeAutospacing="0" w:after="0" w:afterAutospacing="0"/>
              <w:jc w:val="both"/>
              <w:rPr>
                <w:sz w:val="20"/>
                <w:szCs w:val="20"/>
              </w:rPr>
            </w:pPr>
            <w:hyperlink w:anchor="item_9b_or_information" w:history="1">
              <w:r>
                <w:rPr>
                  <w:rStyle w:val="a4"/>
                  <w:sz w:val="20"/>
                  <w:szCs w:val="20"/>
                </w:rPr>
                <w:t>Other Informatio</w:t>
              </w:r>
              <w:r>
                <w:rPr>
                  <w:rStyle w:val="a4"/>
                  <w:sz w:val="20"/>
                  <w:szCs w:val="20"/>
                </w:rPr>
                <w:t>n</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9</w:t>
            </w:r>
            <w:r>
              <w:rPr>
                <w:sz w:val="20"/>
                <w:szCs w:val="20"/>
              </w:rPr>
              <w:t>6</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9C</w:t>
            </w:r>
            <w:r>
              <w:rPr>
                <w:sz w:val="20"/>
                <w:szCs w:val="20"/>
              </w:rPr>
              <w:t>.</w:t>
            </w:r>
          </w:p>
        </w:tc>
        <w:tc>
          <w:tcPr>
            <w:tcW w:w="0" w:type="auto"/>
            <w:hideMark/>
          </w:tcPr>
          <w:p w:rsidR="00000000" w:rsidRDefault="006D723D">
            <w:pPr>
              <w:pStyle w:val="a3"/>
              <w:spacing w:before="0" w:beforeAutospacing="0" w:after="0" w:afterAutospacing="0"/>
              <w:jc w:val="both"/>
              <w:rPr>
                <w:sz w:val="20"/>
                <w:szCs w:val="20"/>
              </w:rPr>
            </w:pPr>
            <w:hyperlink w:anchor="item_9c_disclosure_regarding_foreign_ju" w:history="1">
              <w:r>
                <w:rPr>
                  <w:rStyle w:val="a4"/>
                  <w:sz w:val="20"/>
                  <w:szCs w:val="20"/>
                </w:rPr>
                <w:t>Disclosure Regarding Foreign Jurisdictions That Prevent Inspection</w:t>
              </w:r>
              <w:r>
                <w:rPr>
                  <w:rStyle w:val="a4"/>
                  <w:sz w:val="20"/>
                  <w:szCs w:val="20"/>
                </w:rPr>
                <w:t>s</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9</w:t>
            </w:r>
            <w:r>
              <w:rPr>
                <w:sz w:val="20"/>
                <w:szCs w:val="20"/>
              </w:rPr>
              <w:t>6</w:t>
            </w:r>
          </w:p>
        </w:tc>
      </w:tr>
      <w:tr w:rsidR="00000000">
        <w:trPr>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center"/>
              <w:rPr>
                <w:sz w:val="20"/>
                <w:szCs w:val="20"/>
              </w:rPr>
            </w:pPr>
            <w:hyperlink w:anchor="part_iii" w:history="1">
              <w:r>
                <w:rPr>
                  <w:rStyle w:val="a4"/>
                  <w:b/>
                  <w:bCs/>
                  <w:sz w:val="20"/>
                  <w:szCs w:val="20"/>
                </w:rPr>
                <w:t>PART II</w:t>
              </w:r>
              <w:r>
                <w:rPr>
                  <w:rStyle w:val="a4"/>
                  <w:b/>
                  <w:bCs/>
                  <w:sz w:val="20"/>
                  <w:szCs w:val="20"/>
                </w:rPr>
                <w:t>I</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 </w:t>
            </w:r>
          </w:p>
        </w:tc>
      </w:tr>
      <w:tr w:rsidR="00000000">
        <w:trPr>
          <w:tblCellSpacing w:w="15" w:type="dxa"/>
        </w:trPr>
        <w:tc>
          <w:tcPr>
            <w:tcW w:w="0" w:type="auto"/>
            <w:hideMark/>
          </w:tcPr>
          <w:p w:rsidR="00000000" w:rsidRDefault="006D723D">
            <w:pPr>
              <w:pStyle w:val="a3"/>
              <w:spacing w:before="0" w:beforeAutospacing="0" w:after="0" w:afterAutospacing="0"/>
              <w:jc w:val="both"/>
              <w:rPr>
                <w:sz w:val="12"/>
                <w:szCs w:val="12"/>
              </w:rPr>
            </w:pPr>
            <w:r>
              <w:rPr>
                <w:sz w:val="12"/>
                <w:szCs w:val="12"/>
              </w:rPr>
              <w:t> </w:t>
            </w:r>
          </w:p>
        </w:tc>
        <w:tc>
          <w:tcPr>
            <w:tcW w:w="0" w:type="auto"/>
            <w:hideMark/>
          </w:tcPr>
          <w:p w:rsidR="00000000" w:rsidRDefault="006D723D">
            <w:pPr>
              <w:pStyle w:val="a3"/>
              <w:spacing w:before="0" w:beforeAutospacing="0" w:after="0" w:afterAutospacing="0"/>
              <w:jc w:val="center"/>
              <w:rPr>
                <w:sz w:val="12"/>
                <w:szCs w:val="12"/>
              </w:rPr>
            </w:pPr>
            <w:r>
              <w:rPr>
                <w:sz w:val="12"/>
                <w:szCs w:val="12"/>
              </w:rPr>
              <w:t> </w:t>
            </w:r>
          </w:p>
        </w:tc>
        <w:tc>
          <w:tcPr>
            <w:tcW w:w="0" w:type="auto"/>
            <w:hideMark/>
          </w:tcPr>
          <w:p w:rsidR="00000000" w:rsidRDefault="006D723D">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10</w:t>
            </w:r>
            <w:r>
              <w:rPr>
                <w:sz w:val="20"/>
                <w:szCs w:val="20"/>
              </w:rPr>
              <w:t>.</w:t>
            </w:r>
          </w:p>
        </w:tc>
        <w:tc>
          <w:tcPr>
            <w:tcW w:w="0" w:type="auto"/>
            <w:hideMark/>
          </w:tcPr>
          <w:p w:rsidR="00000000" w:rsidRDefault="006D723D">
            <w:pPr>
              <w:pStyle w:val="a3"/>
              <w:spacing w:before="0" w:beforeAutospacing="0" w:after="0" w:afterAutospacing="0"/>
              <w:jc w:val="both"/>
              <w:rPr>
                <w:sz w:val="20"/>
                <w:szCs w:val="20"/>
              </w:rPr>
            </w:pPr>
            <w:hyperlink w:anchor="item_10_directors_executive_ficers_corp" w:history="1">
              <w:r>
                <w:rPr>
                  <w:rStyle w:val="a4"/>
                  <w:sz w:val="20"/>
                  <w:szCs w:val="20"/>
                </w:rPr>
                <w:t>Directors, Executive Officers and Corporate Governanc</w:t>
              </w:r>
              <w:r>
                <w:rPr>
                  <w:rStyle w:val="a4"/>
                  <w:sz w:val="20"/>
                  <w:szCs w:val="20"/>
                </w:rPr>
                <w:t>e</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9</w:t>
            </w:r>
            <w:r>
              <w:rPr>
                <w:sz w:val="20"/>
                <w:szCs w:val="20"/>
              </w:rPr>
              <w:t>7</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11</w:t>
            </w:r>
            <w:r>
              <w:rPr>
                <w:sz w:val="20"/>
                <w:szCs w:val="20"/>
              </w:rPr>
              <w:t>.</w:t>
            </w:r>
          </w:p>
        </w:tc>
        <w:tc>
          <w:tcPr>
            <w:tcW w:w="0" w:type="auto"/>
            <w:hideMark/>
          </w:tcPr>
          <w:p w:rsidR="00000000" w:rsidRDefault="006D723D">
            <w:pPr>
              <w:pStyle w:val="a3"/>
              <w:spacing w:before="0" w:beforeAutospacing="0" w:after="0" w:afterAutospacing="0"/>
              <w:jc w:val="both"/>
              <w:rPr>
                <w:sz w:val="20"/>
                <w:szCs w:val="20"/>
              </w:rPr>
            </w:pPr>
            <w:hyperlink w:anchor="item_11_executive_compensation" w:history="1">
              <w:r>
                <w:rPr>
                  <w:rStyle w:val="a4"/>
                  <w:sz w:val="20"/>
                  <w:szCs w:val="20"/>
                </w:rPr>
                <w:t>Executive Compensatio</w:t>
              </w:r>
              <w:r>
                <w:rPr>
                  <w:rStyle w:val="a4"/>
                  <w:sz w:val="20"/>
                  <w:szCs w:val="20"/>
                </w:rPr>
                <w:t>n</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9</w:t>
            </w:r>
            <w:r>
              <w:rPr>
                <w:sz w:val="20"/>
                <w:szCs w:val="20"/>
              </w:rPr>
              <w:t>7</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12</w:t>
            </w:r>
            <w:r>
              <w:rPr>
                <w:sz w:val="20"/>
                <w:szCs w:val="20"/>
              </w:rPr>
              <w:t>.</w:t>
            </w:r>
          </w:p>
        </w:tc>
        <w:tc>
          <w:tcPr>
            <w:tcW w:w="0" w:type="auto"/>
            <w:hideMark/>
          </w:tcPr>
          <w:p w:rsidR="00000000" w:rsidRDefault="006D723D">
            <w:pPr>
              <w:pStyle w:val="a3"/>
              <w:spacing w:before="0" w:beforeAutospacing="0" w:after="0" w:afterAutospacing="0"/>
              <w:jc w:val="both"/>
              <w:rPr>
                <w:sz w:val="20"/>
                <w:szCs w:val="20"/>
              </w:rPr>
            </w:pPr>
            <w:hyperlink w:anchor="item_12_security_ownership_certain_bene" w:history="1">
              <w:r>
                <w:rPr>
                  <w:rStyle w:val="a4"/>
                  <w:sz w:val="20"/>
                  <w:szCs w:val="20"/>
                </w:rPr>
                <w:t>Security Ownership of Certain Beneficial Owners and Management and Related Stockholder Matter</w:t>
              </w:r>
              <w:r>
                <w:rPr>
                  <w:rStyle w:val="a4"/>
                  <w:sz w:val="20"/>
                  <w:szCs w:val="20"/>
                </w:rPr>
                <w:t>s</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9</w:t>
            </w:r>
            <w:r>
              <w:rPr>
                <w:sz w:val="20"/>
                <w:szCs w:val="20"/>
              </w:rPr>
              <w:t>7</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13</w:t>
            </w:r>
            <w:r>
              <w:rPr>
                <w:sz w:val="20"/>
                <w:szCs w:val="20"/>
              </w:rPr>
              <w:t>.</w:t>
            </w:r>
          </w:p>
        </w:tc>
        <w:tc>
          <w:tcPr>
            <w:tcW w:w="0" w:type="auto"/>
            <w:hideMark/>
          </w:tcPr>
          <w:p w:rsidR="00000000" w:rsidRDefault="006D723D">
            <w:pPr>
              <w:pStyle w:val="a3"/>
              <w:spacing w:before="0" w:beforeAutospacing="0" w:after="0" w:afterAutospacing="0"/>
              <w:jc w:val="both"/>
              <w:rPr>
                <w:sz w:val="20"/>
                <w:szCs w:val="20"/>
              </w:rPr>
            </w:pPr>
            <w:hyperlink w:anchor="item_13_certain_relationships_related_t" w:history="1">
              <w:r>
                <w:rPr>
                  <w:rStyle w:val="a4"/>
                  <w:sz w:val="20"/>
                  <w:szCs w:val="20"/>
                </w:rPr>
                <w:t>Certain Relationships and Rel</w:t>
              </w:r>
              <w:r>
                <w:rPr>
                  <w:rStyle w:val="a4"/>
                  <w:sz w:val="20"/>
                  <w:szCs w:val="20"/>
                </w:rPr>
                <w:t>ated Party Transactions and Director Independenc</w:t>
              </w:r>
              <w:r>
                <w:rPr>
                  <w:rStyle w:val="a4"/>
                  <w:sz w:val="20"/>
                  <w:szCs w:val="20"/>
                </w:rPr>
                <w:t>e</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9</w:t>
            </w:r>
            <w:r>
              <w:rPr>
                <w:sz w:val="20"/>
                <w:szCs w:val="20"/>
              </w:rPr>
              <w:t>8</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14</w:t>
            </w:r>
            <w:r>
              <w:rPr>
                <w:sz w:val="20"/>
                <w:szCs w:val="20"/>
              </w:rPr>
              <w:t>.</w:t>
            </w:r>
          </w:p>
        </w:tc>
        <w:tc>
          <w:tcPr>
            <w:tcW w:w="0" w:type="auto"/>
            <w:hideMark/>
          </w:tcPr>
          <w:p w:rsidR="00000000" w:rsidRDefault="006D723D">
            <w:pPr>
              <w:pStyle w:val="a3"/>
              <w:spacing w:before="0" w:beforeAutospacing="0" w:after="0" w:afterAutospacing="0"/>
              <w:jc w:val="both"/>
              <w:rPr>
                <w:sz w:val="20"/>
                <w:szCs w:val="20"/>
              </w:rPr>
            </w:pPr>
            <w:hyperlink w:anchor="item_14_principal_accounting_fees_servi" w:history="1">
              <w:r>
                <w:rPr>
                  <w:rStyle w:val="a4"/>
                  <w:sz w:val="20"/>
                  <w:szCs w:val="20"/>
                </w:rPr>
                <w:t>Principal Accounting Fees and Service</w:t>
              </w:r>
              <w:r>
                <w:rPr>
                  <w:rStyle w:val="a4"/>
                  <w:sz w:val="20"/>
                  <w:szCs w:val="20"/>
                </w:rPr>
                <w:t>s</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9</w:t>
            </w:r>
            <w:r>
              <w:rPr>
                <w:sz w:val="20"/>
                <w:szCs w:val="20"/>
              </w:rPr>
              <w:t>8</w:t>
            </w:r>
          </w:p>
        </w:tc>
      </w:tr>
      <w:tr w:rsidR="00000000">
        <w:trPr>
          <w:tblCellSpacing w:w="15" w:type="dxa"/>
        </w:trPr>
        <w:tc>
          <w:tcPr>
            <w:tcW w:w="0" w:type="auto"/>
            <w:hideMark/>
          </w:tcPr>
          <w:p w:rsidR="00000000" w:rsidRDefault="006D723D">
            <w:pPr>
              <w:pStyle w:val="a3"/>
              <w:spacing w:before="0" w:beforeAutospacing="0" w:after="0" w:afterAutospacing="0"/>
              <w:jc w:val="both"/>
              <w:rPr>
                <w:sz w:val="12"/>
                <w:szCs w:val="12"/>
              </w:rPr>
            </w:pPr>
            <w:r>
              <w:rPr>
                <w:sz w:val="12"/>
                <w:szCs w:val="12"/>
              </w:rPr>
              <w:t> </w:t>
            </w:r>
          </w:p>
        </w:tc>
        <w:tc>
          <w:tcPr>
            <w:tcW w:w="0" w:type="auto"/>
            <w:hideMark/>
          </w:tcPr>
          <w:p w:rsidR="00000000" w:rsidRDefault="006D723D">
            <w:pPr>
              <w:pStyle w:val="a3"/>
              <w:spacing w:before="0" w:beforeAutospacing="0" w:after="0" w:afterAutospacing="0"/>
              <w:jc w:val="center"/>
              <w:rPr>
                <w:sz w:val="12"/>
                <w:szCs w:val="12"/>
              </w:rPr>
            </w:pPr>
            <w:r>
              <w:rPr>
                <w:sz w:val="12"/>
                <w:szCs w:val="12"/>
              </w:rPr>
              <w:t> </w:t>
            </w:r>
          </w:p>
        </w:tc>
        <w:tc>
          <w:tcPr>
            <w:tcW w:w="0" w:type="auto"/>
            <w:hideMark/>
          </w:tcPr>
          <w:p w:rsidR="00000000" w:rsidRDefault="006D723D">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center"/>
              <w:rPr>
                <w:sz w:val="20"/>
                <w:szCs w:val="20"/>
              </w:rPr>
            </w:pPr>
            <w:hyperlink w:anchor="part_iv" w:history="1">
              <w:r>
                <w:rPr>
                  <w:rStyle w:val="a4"/>
                  <w:b/>
                  <w:bCs/>
                  <w:sz w:val="20"/>
                  <w:szCs w:val="20"/>
                </w:rPr>
                <w:t>PART I</w:t>
              </w:r>
              <w:r>
                <w:rPr>
                  <w:rStyle w:val="a4"/>
                  <w:b/>
                  <w:bCs/>
                  <w:sz w:val="20"/>
                  <w:szCs w:val="20"/>
                </w:rPr>
                <w:t>V</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 </w:t>
            </w:r>
          </w:p>
        </w:tc>
      </w:tr>
      <w:tr w:rsidR="00000000">
        <w:trPr>
          <w:tblCellSpacing w:w="15" w:type="dxa"/>
        </w:trPr>
        <w:tc>
          <w:tcPr>
            <w:tcW w:w="0" w:type="auto"/>
            <w:hideMark/>
          </w:tcPr>
          <w:p w:rsidR="00000000" w:rsidRDefault="006D723D">
            <w:pPr>
              <w:pStyle w:val="a3"/>
              <w:spacing w:before="0" w:beforeAutospacing="0" w:after="0" w:afterAutospacing="0"/>
              <w:jc w:val="both"/>
              <w:rPr>
                <w:sz w:val="12"/>
                <w:szCs w:val="12"/>
              </w:rPr>
            </w:pPr>
            <w:r>
              <w:rPr>
                <w:sz w:val="12"/>
                <w:szCs w:val="12"/>
              </w:rPr>
              <w:t> </w:t>
            </w:r>
          </w:p>
        </w:tc>
        <w:tc>
          <w:tcPr>
            <w:tcW w:w="0" w:type="auto"/>
            <w:hideMark/>
          </w:tcPr>
          <w:p w:rsidR="00000000" w:rsidRDefault="006D723D">
            <w:pPr>
              <w:pStyle w:val="a3"/>
              <w:spacing w:before="0" w:beforeAutospacing="0" w:after="0" w:afterAutospacing="0"/>
              <w:jc w:val="center"/>
              <w:rPr>
                <w:sz w:val="12"/>
                <w:szCs w:val="12"/>
              </w:rPr>
            </w:pPr>
            <w:r>
              <w:rPr>
                <w:sz w:val="12"/>
                <w:szCs w:val="12"/>
              </w:rPr>
              <w:t> </w:t>
            </w:r>
          </w:p>
        </w:tc>
        <w:tc>
          <w:tcPr>
            <w:tcW w:w="0" w:type="auto"/>
            <w:hideMark/>
          </w:tcPr>
          <w:p w:rsidR="00000000" w:rsidRDefault="006D723D">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15</w:t>
            </w:r>
            <w:r>
              <w:rPr>
                <w:sz w:val="20"/>
                <w:szCs w:val="20"/>
              </w:rPr>
              <w:t>.</w:t>
            </w:r>
          </w:p>
        </w:tc>
        <w:tc>
          <w:tcPr>
            <w:tcW w:w="0" w:type="auto"/>
            <w:hideMark/>
          </w:tcPr>
          <w:p w:rsidR="00000000" w:rsidRDefault="006D723D">
            <w:pPr>
              <w:pStyle w:val="a3"/>
              <w:spacing w:before="0" w:beforeAutospacing="0" w:after="0" w:afterAutospacing="0"/>
              <w:jc w:val="both"/>
              <w:rPr>
                <w:sz w:val="20"/>
                <w:szCs w:val="20"/>
              </w:rPr>
            </w:pPr>
            <w:hyperlink w:anchor="item_15_exhibits_financial_statement_sc" w:history="1">
              <w:r>
                <w:rPr>
                  <w:rStyle w:val="a4"/>
                  <w:sz w:val="20"/>
                  <w:szCs w:val="20"/>
                </w:rPr>
                <w:t>Exhibits and Financial Statement Schedule</w:t>
              </w:r>
              <w:r>
                <w:rPr>
                  <w:rStyle w:val="a4"/>
                  <w:sz w:val="20"/>
                  <w:szCs w:val="20"/>
                </w:rPr>
                <w:t>s</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9</w:t>
            </w:r>
            <w:r>
              <w:rPr>
                <w:sz w:val="20"/>
                <w:szCs w:val="20"/>
              </w:rPr>
              <w:t>9</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16</w:t>
            </w:r>
            <w:r>
              <w:rPr>
                <w:sz w:val="20"/>
                <w:szCs w:val="20"/>
              </w:rPr>
              <w:t>.</w:t>
            </w:r>
          </w:p>
        </w:tc>
        <w:tc>
          <w:tcPr>
            <w:tcW w:w="0" w:type="auto"/>
            <w:hideMark/>
          </w:tcPr>
          <w:p w:rsidR="00000000" w:rsidRDefault="006D723D">
            <w:pPr>
              <w:pStyle w:val="a3"/>
              <w:spacing w:before="0" w:beforeAutospacing="0" w:after="0" w:afterAutospacing="0"/>
              <w:jc w:val="both"/>
              <w:rPr>
                <w:sz w:val="20"/>
                <w:szCs w:val="20"/>
              </w:rPr>
            </w:pPr>
            <w:hyperlink w:anchor="item_16_form_10k_summary" w:history="1">
              <w:r>
                <w:rPr>
                  <w:rStyle w:val="a4"/>
                  <w:sz w:val="20"/>
                  <w:szCs w:val="20"/>
                </w:rPr>
                <w:t>Form 10-K Summar</w:t>
              </w:r>
              <w:r>
                <w:rPr>
                  <w:rStyle w:val="a4"/>
                  <w:sz w:val="20"/>
                  <w:szCs w:val="20"/>
                </w:rPr>
                <w:t>y</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10</w:t>
            </w:r>
            <w:r>
              <w:rPr>
                <w:sz w:val="20"/>
                <w:szCs w:val="20"/>
              </w:rPr>
              <w:t>3</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center"/>
              <w:rPr>
                <w:sz w:val="20"/>
                <w:szCs w:val="20"/>
              </w:rPr>
            </w:pPr>
            <w:hyperlink w:anchor="signatures" w:history="1">
              <w:r>
                <w:rPr>
                  <w:rStyle w:val="a4"/>
                  <w:b/>
                  <w:bCs/>
                  <w:sz w:val="20"/>
                  <w:szCs w:val="20"/>
                </w:rPr>
                <w:t>SIGNATURE</w:t>
              </w:r>
              <w:r>
                <w:rPr>
                  <w:rStyle w:val="a4"/>
                  <w:b/>
                  <w:bCs/>
                  <w:sz w:val="20"/>
                  <w:szCs w:val="20"/>
                </w:rPr>
                <w:t>S</w:t>
              </w:r>
            </w:hyperlink>
          </w:p>
        </w:tc>
        <w:tc>
          <w:tcPr>
            <w:tcW w:w="0" w:type="auto"/>
            <w:hideMark/>
          </w:tcPr>
          <w:p w:rsidR="00000000" w:rsidRDefault="006D723D">
            <w:pPr>
              <w:pStyle w:val="a3"/>
              <w:spacing w:before="0" w:beforeAutospacing="0" w:after="0" w:afterAutospacing="0"/>
              <w:jc w:val="right"/>
              <w:rPr>
                <w:sz w:val="20"/>
                <w:szCs w:val="20"/>
              </w:rPr>
            </w:pPr>
            <w:r>
              <w:rPr>
                <w:sz w:val="20"/>
                <w:szCs w:val="20"/>
              </w:rPr>
              <w:t>10</w:t>
            </w:r>
            <w:r>
              <w:rPr>
                <w:sz w:val="20"/>
                <w:szCs w:val="20"/>
              </w:rPr>
              <w:t>4</w:t>
            </w:r>
          </w:p>
        </w:tc>
      </w:tr>
    </w:tbl>
    <w:p w:rsidR="00000000" w:rsidRDefault="006D723D">
      <w:pPr>
        <w:pStyle w:val="a3"/>
        <w:spacing w:before="0" w:beforeAutospacing="0" w:after="0" w:afterAutospacing="0"/>
        <w:jc w:val="both"/>
        <w:rPr>
          <w:sz w:val="20"/>
          <w:szCs w:val="20"/>
        </w:rPr>
      </w:pPr>
      <w:r>
        <w:rPr>
          <w:sz w:val="8"/>
          <w:szCs w:val="8"/>
        </w:rPr>
        <w:t> </w:t>
      </w:r>
    </w:p>
    <w:p w:rsidR="00000000" w:rsidRDefault="006D723D">
      <w:pPr>
        <w:pStyle w:val="a3"/>
        <w:spacing w:before="0" w:beforeAutospacing="0" w:after="0" w:afterAutospacing="0"/>
        <w:jc w:val="center"/>
        <w:rPr>
          <w:sz w:val="20"/>
          <w:szCs w:val="20"/>
        </w:rPr>
      </w:pPr>
      <w:r>
        <w:rPr>
          <w:sz w:val="20"/>
          <w:szCs w:val="20"/>
        </w:rPr>
        <w:t> </w:t>
      </w:r>
    </w:p>
    <w:p w:rsidR="00000000" w:rsidRDefault="006D723D">
      <w:pPr>
        <w:pStyle w:val="a3"/>
        <w:spacing w:before="200" w:beforeAutospacing="0" w:after="0" w:afterAutospacing="0"/>
        <w:jc w:val="center"/>
        <w:rPr>
          <w:sz w:val="20"/>
          <w:szCs w:val="20"/>
        </w:rPr>
      </w:pPr>
      <w:r>
        <w:rPr>
          <w:sz w:val="20"/>
          <w:szCs w:val="20"/>
        </w:rPr>
        <w:t>2</w:t>
      </w:r>
    </w:p>
    <w:p w:rsidR="00000000" w:rsidRDefault="006D723D">
      <w:pPr>
        <w:rPr>
          <w:rFonts w:eastAsia="Times New Roman"/>
        </w:rPr>
      </w:pPr>
      <w:r>
        <w:rPr>
          <w:rFonts w:eastAsia="Times New Roman"/>
        </w:rPr>
        <w:pict>
          <v:rect id="_x0000_i1026"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jc w:val="center"/>
        <w:rPr>
          <w:sz w:val="20"/>
          <w:szCs w:val="20"/>
        </w:rPr>
      </w:pPr>
      <w:r>
        <w:rPr>
          <w:b/>
          <w:bCs/>
          <w:sz w:val="20"/>
          <w:szCs w:val="20"/>
        </w:rPr>
        <w:t>CAUTIONARY STATEMENT R</w:t>
      </w:r>
      <w:r>
        <w:rPr>
          <w:b/>
          <w:bCs/>
          <w:sz w:val="20"/>
          <w:szCs w:val="20"/>
        </w:rPr>
        <w:t>E</w:t>
      </w:r>
      <w:r>
        <w:rPr>
          <w:b/>
          <w:bCs/>
          <w:sz w:val="20"/>
          <w:szCs w:val="20"/>
        </w:rPr>
        <w:t>GARDIN</w:t>
      </w:r>
      <w:r>
        <w:rPr>
          <w:b/>
          <w:bCs/>
          <w:sz w:val="20"/>
          <w:szCs w:val="20"/>
        </w:rPr>
        <w:t>G</w:t>
      </w:r>
    </w:p>
    <w:p w:rsidR="00000000" w:rsidRDefault="006D723D">
      <w:pPr>
        <w:pStyle w:val="a3"/>
        <w:spacing w:before="0" w:beforeAutospacing="0" w:after="0" w:afterAutospacing="0"/>
        <w:jc w:val="center"/>
        <w:rPr>
          <w:sz w:val="20"/>
          <w:szCs w:val="20"/>
        </w:rPr>
      </w:pPr>
      <w:r>
        <w:rPr>
          <w:b/>
          <w:bCs/>
          <w:sz w:val="20"/>
          <w:szCs w:val="20"/>
        </w:rPr>
        <w:t>FORWARD-LOOKING INFORMATIO</w:t>
      </w:r>
      <w:r>
        <w:rPr>
          <w:b/>
          <w:bCs/>
          <w:sz w:val="20"/>
          <w:szCs w:val="20"/>
        </w:rPr>
        <w:t>N</w:t>
      </w:r>
    </w:p>
    <w:p w:rsidR="00000000" w:rsidRDefault="006D723D">
      <w:pPr>
        <w:pStyle w:val="a3"/>
        <w:spacing w:before="240" w:beforeAutospacing="0" w:after="0" w:afterAutospacing="0"/>
        <w:jc w:val="both"/>
        <w:rPr>
          <w:sz w:val="20"/>
          <w:szCs w:val="20"/>
        </w:rPr>
      </w:pPr>
      <w:r>
        <w:rPr>
          <w:sz w:val="20"/>
          <w:szCs w:val="20"/>
        </w:rPr>
        <w:t>This Annual Report on Form 10-K, or Annual Report, contains statements as to our beliefs and expectations of the outcome of future events that are forward-looking statements as defined within the meaning of the Private Securities Litigation Reform Act of 1</w:t>
      </w:r>
      <w:r>
        <w:rPr>
          <w:sz w:val="20"/>
          <w:szCs w:val="20"/>
        </w:rPr>
        <w:t>995, as amended. All statements other than statements of current or historical fact contained in this Annual Report, including statements regarding our future financial position, business strategy, budgets, projected costs and plans, and objectives of mana</w:t>
      </w:r>
      <w:r>
        <w:rPr>
          <w:sz w:val="20"/>
          <w:szCs w:val="20"/>
        </w:rPr>
        <w:t>gement for future operations, are forward-looking statements. The words "anticipate," "believe," "continue," "could," "estimate," "expect," "intend," "may," "plan," "projects," "will," and similar expressions, as they relate to us, are intended to identify</w:t>
      </w:r>
      <w:r>
        <w:rPr>
          <w:sz w:val="20"/>
          <w:szCs w:val="20"/>
        </w:rPr>
        <w:t xml:space="preserve"> forward-looking statements. These forward-looking statements are subject to risks and uncertainties that could cause actual results to differ materially from the statements made in this Annual Report. These include, but are not limited to, the risks and u</w:t>
      </w:r>
      <w:r>
        <w:rPr>
          <w:sz w:val="20"/>
          <w:szCs w:val="20"/>
        </w:rPr>
        <w:t>ncertainties associated with</w:t>
      </w:r>
      <w:r>
        <w:rPr>
          <w:sz w:val="20"/>
          <w:szCs w:val="20"/>
        </w:rPr>
        <w:t>:</w:t>
      </w:r>
    </w:p>
    <w:p w:rsidR="00000000" w:rsidRDefault="006D723D">
      <w:pPr>
        <w:jc w:val="both"/>
        <w:divId w:val="1465002352"/>
        <w:rPr>
          <w:rFonts w:eastAsia="Times New Roman"/>
        </w:rPr>
      </w:pPr>
      <w:r>
        <w:rPr>
          <w:rFonts w:eastAsia="Times New Roman"/>
          <w:sz w:val="20"/>
          <w:szCs w:val="20"/>
        </w:rPr>
        <w:t>•</w:t>
      </w:r>
    </w:p>
    <w:p w:rsidR="00000000" w:rsidRDefault="006D723D">
      <w:pPr>
        <w:jc w:val="both"/>
        <w:divId w:val="517235161"/>
        <w:rPr>
          <w:rFonts w:eastAsia="Times New Roman"/>
        </w:rPr>
      </w:pPr>
      <w:r>
        <w:rPr>
          <w:rFonts w:eastAsia="Times New Roman"/>
          <w:sz w:val="20"/>
          <w:szCs w:val="20"/>
        </w:rPr>
        <w:t>changes in government policy, legislation and regulations that affect utilization of the private sector for corrections, detention, and residential reentry services, in general, or our business, in particular, including, but</w:t>
      </w:r>
      <w:r>
        <w:rPr>
          <w:rFonts w:eastAsia="Times New Roman"/>
          <w:sz w:val="20"/>
          <w:szCs w:val="20"/>
        </w:rPr>
        <w:t xml:space="preserve"> not limited to, the continued utilization of our correctional and detention facilities by the federal government, including as a consequence of the United States Department of Justice, or DOJ, not renewing contracts as a result of President Biden's Execut</w:t>
      </w:r>
      <w:r>
        <w:rPr>
          <w:rFonts w:eastAsia="Times New Roman"/>
          <w:sz w:val="20"/>
          <w:szCs w:val="20"/>
        </w:rPr>
        <w:t>ive Order on Reforming Our Incarceration System to Eliminate the Use of Privately Operated Criminal Detention Facilities, or the Private Prison EO, impacting utilization primarily by the United States Federal Bureau of Prisons, or BOP, and the United State</w:t>
      </w:r>
      <w:r>
        <w:rPr>
          <w:rFonts w:eastAsia="Times New Roman"/>
          <w:sz w:val="20"/>
          <w:szCs w:val="20"/>
        </w:rPr>
        <w:t>s Marshals Service, or USMS, and the impact of any changes to immigration reform and sentencing laws (we do not, under longstanding policy, lobby for or against policies or legislation that would determine the basis for, or duration of, an individual's inc</w:t>
      </w:r>
      <w:r>
        <w:rPr>
          <w:rFonts w:eastAsia="Times New Roman"/>
          <w:sz w:val="20"/>
          <w:szCs w:val="20"/>
        </w:rPr>
        <w:t>arceration or detention);</w:t>
      </w:r>
      <w:r>
        <w:rPr>
          <w:rFonts w:eastAsia="Times New Roman"/>
          <w:sz w:val="20"/>
          <w:szCs w:val="20"/>
        </w:rPr>
        <w:t xml:space="preserve"> </w:t>
      </w:r>
    </w:p>
    <w:p w:rsidR="00000000" w:rsidRDefault="006D723D">
      <w:pPr>
        <w:jc w:val="both"/>
        <w:divId w:val="947389500"/>
        <w:rPr>
          <w:rFonts w:eastAsia="Times New Roman"/>
        </w:rPr>
      </w:pPr>
      <w:r>
        <w:rPr>
          <w:rFonts w:eastAsia="Times New Roman"/>
          <w:sz w:val="20"/>
          <w:szCs w:val="20"/>
        </w:rPr>
        <w:t>•</w:t>
      </w:r>
    </w:p>
    <w:p w:rsidR="00000000" w:rsidRDefault="006D723D">
      <w:pPr>
        <w:jc w:val="both"/>
        <w:divId w:val="1016736839"/>
        <w:rPr>
          <w:rFonts w:eastAsia="Times New Roman"/>
        </w:rPr>
      </w:pPr>
      <w:r>
        <w:rPr>
          <w:rFonts w:eastAsia="Times New Roman"/>
          <w:sz w:val="20"/>
          <w:szCs w:val="20"/>
        </w:rPr>
        <w:lastRenderedPageBreak/>
        <w:t>our ability to obtain and maintain correctional, detention, and residential reentry facility management contracts because of reasons including, but not limited to, sufficient governmental appropriations, contract compliance, ne</w:t>
      </w:r>
      <w:r>
        <w:rPr>
          <w:rFonts w:eastAsia="Times New Roman"/>
          <w:sz w:val="20"/>
          <w:szCs w:val="20"/>
        </w:rPr>
        <w:t>gative publicity and effects of inmate disturbances</w:t>
      </w:r>
      <w:r>
        <w:rPr>
          <w:rFonts w:eastAsia="Times New Roman"/>
          <w:sz w:val="20"/>
          <w:szCs w:val="20"/>
        </w:rPr>
        <w:t>;</w:t>
      </w:r>
    </w:p>
    <w:p w:rsidR="00000000" w:rsidRDefault="006D723D">
      <w:pPr>
        <w:jc w:val="both"/>
        <w:divId w:val="216286623"/>
        <w:rPr>
          <w:rFonts w:eastAsia="Times New Roman"/>
        </w:rPr>
      </w:pPr>
      <w:r>
        <w:rPr>
          <w:rFonts w:eastAsia="Times New Roman"/>
          <w:sz w:val="20"/>
          <w:szCs w:val="20"/>
        </w:rPr>
        <w:t>•</w:t>
      </w:r>
    </w:p>
    <w:p w:rsidR="00000000" w:rsidRDefault="006D723D">
      <w:pPr>
        <w:jc w:val="both"/>
        <w:divId w:val="4286008"/>
        <w:rPr>
          <w:rFonts w:eastAsia="Times New Roman"/>
        </w:rPr>
      </w:pPr>
      <w:r>
        <w:rPr>
          <w:rFonts w:eastAsia="Times New Roman"/>
          <w:sz w:val="20"/>
          <w:szCs w:val="20"/>
        </w:rPr>
        <w:t>changes in the privatization of the corrections and detention industry, the acceptance of our services, the timing of the opening of new facilities and the commencement of new management contracts (inc</w:t>
      </w:r>
      <w:r>
        <w:rPr>
          <w:rFonts w:eastAsia="Times New Roman"/>
          <w:sz w:val="20"/>
          <w:szCs w:val="20"/>
        </w:rPr>
        <w:t>luding the extent and pace at which new contracts are utilized), as well as our ability to utilize available beds</w:t>
      </w:r>
      <w:r>
        <w:rPr>
          <w:rFonts w:eastAsia="Times New Roman"/>
          <w:sz w:val="20"/>
          <w:szCs w:val="20"/>
        </w:rPr>
        <w:t>;</w:t>
      </w:r>
    </w:p>
    <w:p w:rsidR="00000000" w:rsidRDefault="006D723D">
      <w:pPr>
        <w:jc w:val="both"/>
        <w:divId w:val="1963488403"/>
        <w:rPr>
          <w:rFonts w:eastAsia="Times New Roman"/>
        </w:rPr>
      </w:pPr>
      <w:r>
        <w:rPr>
          <w:rFonts w:eastAsia="Times New Roman"/>
          <w:sz w:val="20"/>
          <w:szCs w:val="20"/>
        </w:rPr>
        <w:t>•</w:t>
      </w:r>
    </w:p>
    <w:p w:rsidR="00000000" w:rsidRDefault="006D723D">
      <w:pPr>
        <w:jc w:val="both"/>
        <w:divId w:val="2040930706"/>
        <w:rPr>
          <w:rFonts w:eastAsia="Times New Roman"/>
        </w:rPr>
      </w:pPr>
      <w:r>
        <w:rPr>
          <w:rFonts w:eastAsia="Times New Roman"/>
          <w:sz w:val="20"/>
          <w:szCs w:val="20"/>
        </w:rPr>
        <w:t>general economic and market conditions, including, but not limited to, the impact governmental budgets can have on our contract renewals an</w:t>
      </w:r>
      <w:r>
        <w:rPr>
          <w:rFonts w:eastAsia="Times New Roman"/>
          <w:sz w:val="20"/>
          <w:szCs w:val="20"/>
        </w:rPr>
        <w:t>d renegotiations, per diem rates, and occupancy</w:t>
      </w:r>
      <w:r>
        <w:rPr>
          <w:rFonts w:eastAsia="Times New Roman"/>
          <w:sz w:val="20"/>
          <w:szCs w:val="20"/>
        </w:rPr>
        <w:t>;</w:t>
      </w:r>
    </w:p>
    <w:p w:rsidR="00000000" w:rsidRDefault="006D723D">
      <w:pPr>
        <w:jc w:val="both"/>
        <w:divId w:val="150872259"/>
        <w:rPr>
          <w:rFonts w:eastAsia="Times New Roman"/>
        </w:rPr>
      </w:pPr>
      <w:r>
        <w:rPr>
          <w:rFonts w:eastAsia="Times New Roman"/>
          <w:sz w:val="20"/>
          <w:szCs w:val="20"/>
        </w:rPr>
        <w:t>•</w:t>
      </w:r>
    </w:p>
    <w:p w:rsidR="00000000" w:rsidRDefault="006D723D">
      <w:pPr>
        <w:jc w:val="both"/>
        <w:divId w:val="1651442505"/>
        <w:rPr>
          <w:rFonts w:eastAsia="Times New Roman"/>
        </w:rPr>
      </w:pPr>
      <w:r>
        <w:rPr>
          <w:rFonts w:eastAsia="Times New Roman"/>
          <w:sz w:val="20"/>
          <w:szCs w:val="20"/>
        </w:rPr>
        <w:t>fluctuations in our operating results because of, among other things, changes in occupancy levels; competition; contract renegotiations or terminations; inflation and other increases in costs of operations</w:t>
      </w:r>
      <w:r>
        <w:rPr>
          <w:rFonts w:eastAsia="Times New Roman"/>
          <w:sz w:val="20"/>
          <w:szCs w:val="20"/>
        </w:rPr>
        <w:t>, including a continuing rise in labor costs; fluctuations in interest rates and risks of operations</w:t>
      </w:r>
      <w:r>
        <w:rPr>
          <w:rFonts w:eastAsia="Times New Roman"/>
          <w:sz w:val="20"/>
          <w:szCs w:val="20"/>
        </w:rPr>
        <w:t>;</w:t>
      </w:r>
    </w:p>
    <w:p w:rsidR="00000000" w:rsidRDefault="006D723D">
      <w:pPr>
        <w:jc w:val="both"/>
        <w:divId w:val="1005941156"/>
        <w:rPr>
          <w:rFonts w:eastAsia="Times New Roman"/>
        </w:rPr>
      </w:pPr>
      <w:r>
        <w:rPr>
          <w:rFonts w:eastAsia="Times New Roman"/>
          <w:sz w:val="20"/>
          <w:szCs w:val="20"/>
        </w:rPr>
        <w:t>•</w:t>
      </w:r>
    </w:p>
    <w:p w:rsidR="00000000" w:rsidRDefault="006D723D">
      <w:pPr>
        <w:jc w:val="both"/>
        <w:divId w:val="1912501821"/>
        <w:rPr>
          <w:rFonts w:eastAsia="Times New Roman"/>
        </w:rPr>
      </w:pPr>
      <w:r>
        <w:rPr>
          <w:rFonts w:eastAsia="Times New Roman"/>
          <w:sz w:val="20"/>
          <w:szCs w:val="20"/>
        </w:rPr>
        <w:t xml:space="preserve">the duration of the federal government's denial of entry at the United States southern border to asylum-seekers and anyone crossing the southern border </w:t>
      </w:r>
      <w:r>
        <w:rPr>
          <w:rFonts w:eastAsia="Times New Roman"/>
          <w:sz w:val="20"/>
          <w:szCs w:val="20"/>
        </w:rPr>
        <w:t xml:space="preserve">without proper documentation or authority in an effort to contain the spread of the novel coronavirus and related variants, or COVID-19, a policy known as Title 42 (Title 42, as discussed below under the heading </w:t>
      </w:r>
      <w:r>
        <w:rPr>
          <w:rFonts w:eastAsia="Times New Roman"/>
          <w:sz w:val="20"/>
          <w:szCs w:val="20"/>
        </w:rPr>
        <w:t>"</w:t>
      </w:r>
      <w:r>
        <w:rPr>
          <w:rFonts w:eastAsia="Times New Roman"/>
          <w:i/>
          <w:iCs/>
          <w:sz w:val="20"/>
          <w:szCs w:val="20"/>
        </w:rPr>
        <w:t>Part I, Item 1. Business—Business Developme</w:t>
      </w:r>
      <w:r>
        <w:rPr>
          <w:rFonts w:eastAsia="Times New Roman"/>
          <w:i/>
          <w:iCs/>
          <w:sz w:val="20"/>
          <w:szCs w:val="20"/>
        </w:rPr>
        <w:t>nt</w:t>
      </w:r>
      <w:r>
        <w:rPr>
          <w:rFonts w:eastAsia="Times New Roman"/>
          <w:i/>
          <w:iCs/>
          <w:sz w:val="20"/>
          <w:szCs w:val="20"/>
        </w:rPr>
        <w:t>,</w:t>
      </w:r>
      <w:r>
        <w:rPr>
          <w:rFonts w:eastAsia="Times New Roman"/>
          <w:sz w:val="20"/>
          <w:szCs w:val="20"/>
        </w:rPr>
        <w:t>" is subject to ongoing litigation the outcome of which is unclear. Most recently, on December 27, 2022, the Supreme Court granted a stay on the cessation of Title 42, while it considers an appeal by a group of states to continue the expulsions.)</w:t>
      </w:r>
      <w:r>
        <w:rPr>
          <w:rFonts w:eastAsia="Times New Roman"/>
          <w:sz w:val="20"/>
          <w:szCs w:val="20"/>
        </w:rPr>
        <w:t>;</w:t>
      </w:r>
    </w:p>
    <w:p w:rsidR="00000000" w:rsidRDefault="006D723D">
      <w:pPr>
        <w:jc w:val="both"/>
        <w:divId w:val="156578328"/>
        <w:rPr>
          <w:rFonts w:eastAsia="Times New Roman"/>
        </w:rPr>
      </w:pPr>
      <w:r>
        <w:rPr>
          <w:rFonts w:eastAsia="Times New Roman"/>
          <w:sz w:val="20"/>
          <w:szCs w:val="20"/>
        </w:rPr>
        <w:t>•</w:t>
      </w:r>
    </w:p>
    <w:p w:rsidR="00000000" w:rsidRDefault="006D723D">
      <w:pPr>
        <w:jc w:val="both"/>
        <w:divId w:val="1558977495"/>
        <w:rPr>
          <w:rFonts w:eastAsia="Times New Roman"/>
        </w:rPr>
      </w:pPr>
      <w:r>
        <w:rPr>
          <w:rFonts w:eastAsia="Times New Roman"/>
          <w:sz w:val="20"/>
          <w:szCs w:val="20"/>
        </w:rPr>
        <w:t>our</w:t>
      </w:r>
      <w:r>
        <w:rPr>
          <w:rFonts w:eastAsia="Times New Roman"/>
          <w:sz w:val="20"/>
          <w:szCs w:val="20"/>
        </w:rPr>
        <w:t xml:space="preserve"> ability to successfully identify and consummate future development and acquisition opportunities and realize projected returns resulting therefrom</w:t>
      </w:r>
      <w:r>
        <w:rPr>
          <w:rFonts w:eastAsia="Times New Roman"/>
          <w:sz w:val="20"/>
          <w:szCs w:val="20"/>
        </w:rPr>
        <w:t>;</w:t>
      </w:r>
    </w:p>
    <w:p w:rsidR="00000000" w:rsidRDefault="006D723D">
      <w:pPr>
        <w:pStyle w:val="a3"/>
        <w:spacing w:before="200" w:beforeAutospacing="0" w:after="0" w:afterAutospacing="0"/>
        <w:jc w:val="center"/>
        <w:rPr>
          <w:sz w:val="20"/>
          <w:szCs w:val="20"/>
        </w:rPr>
      </w:pPr>
      <w:r>
        <w:rPr>
          <w:sz w:val="20"/>
          <w:szCs w:val="20"/>
        </w:rPr>
        <w:t>3</w:t>
      </w:r>
    </w:p>
    <w:p w:rsidR="00000000" w:rsidRDefault="006D723D">
      <w:pPr>
        <w:rPr>
          <w:rFonts w:eastAsia="Times New Roman"/>
        </w:rPr>
      </w:pPr>
      <w:r>
        <w:rPr>
          <w:rFonts w:eastAsia="Times New Roman"/>
        </w:rPr>
        <w:pict>
          <v:rect id="_x0000_i1027"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jc w:val="both"/>
        <w:divId w:val="2105566440"/>
        <w:rPr>
          <w:rFonts w:eastAsia="Times New Roman"/>
        </w:rPr>
      </w:pPr>
      <w:r>
        <w:rPr>
          <w:rFonts w:eastAsia="Times New Roman"/>
          <w:sz w:val="20"/>
          <w:szCs w:val="20"/>
        </w:rPr>
        <w:t>•</w:t>
      </w:r>
    </w:p>
    <w:p w:rsidR="00000000" w:rsidRDefault="006D723D">
      <w:pPr>
        <w:jc w:val="both"/>
        <w:divId w:val="1564096859"/>
        <w:rPr>
          <w:rFonts w:eastAsia="Times New Roman"/>
        </w:rPr>
      </w:pPr>
      <w:r>
        <w:rPr>
          <w:rFonts w:eastAsia="Times New Roman"/>
          <w:sz w:val="20"/>
          <w:szCs w:val="20"/>
        </w:rPr>
        <w:t>our ability to have met and maintained qualification for taxatio</w:t>
      </w:r>
      <w:r>
        <w:rPr>
          <w:rFonts w:eastAsia="Times New Roman"/>
          <w:sz w:val="20"/>
          <w:szCs w:val="20"/>
        </w:rPr>
        <w:t>n as a real estate investment trust, or REIT, for the years we elected REIT status; an</w:t>
      </w:r>
      <w:r>
        <w:rPr>
          <w:rFonts w:eastAsia="Times New Roman"/>
          <w:sz w:val="20"/>
          <w:szCs w:val="20"/>
        </w:rPr>
        <w:t>d</w:t>
      </w:r>
    </w:p>
    <w:p w:rsidR="00000000" w:rsidRDefault="006D723D">
      <w:pPr>
        <w:jc w:val="both"/>
        <w:divId w:val="323556404"/>
        <w:rPr>
          <w:rFonts w:eastAsia="Times New Roman"/>
        </w:rPr>
      </w:pPr>
      <w:r>
        <w:rPr>
          <w:rFonts w:eastAsia="Times New Roman"/>
          <w:sz w:val="20"/>
          <w:szCs w:val="20"/>
        </w:rPr>
        <w:t>•</w:t>
      </w:r>
    </w:p>
    <w:p w:rsidR="00000000" w:rsidRDefault="006D723D">
      <w:pPr>
        <w:jc w:val="both"/>
        <w:divId w:val="1070159488"/>
        <w:rPr>
          <w:rFonts w:eastAsia="Times New Roman"/>
        </w:rPr>
      </w:pPr>
      <w:r>
        <w:rPr>
          <w:rFonts w:eastAsia="Times New Roman"/>
          <w:sz w:val="20"/>
          <w:szCs w:val="20"/>
        </w:rPr>
        <w:t>the availability of debt and equity financing on terms that are favorable to us, or at all</w:t>
      </w:r>
      <w:r>
        <w:rPr>
          <w:rFonts w:eastAsia="Times New Roman"/>
          <w:sz w:val="20"/>
          <w:szCs w:val="20"/>
        </w:rPr>
        <w:t>.</w:t>
      </w:r>
    </w:p>
    <w:p w:rsidR="00000000" w:rsidRDefault="006D723D">
      <w:pPr>
        <w:pStyle w:val="a3"/>
        <w:spacing w:before="240" w:beforeAutospacing="0" w:after="0" w:afterAutospacing="0"/>
        <w:jc w:val="both"/>
        <w:rPr>
          <w:sz w:val="20"/>
          <w:szCs w:val="20"/>
        </w:rPr>
      </w:pPr>
      <w:r>
        <w:rPr>
          <w:sz w:val="20"/>
          <w:szCs w:val="20"/>
        </w:rPr>
        <w:t>Any or all of our forward-looking statements in this Annual Report may turn out to be inaccurate. We have based these forward-looking statements largely on our current expectations and projections about future events and financial trends that we believe ma</w:t>
      </w:r>
      <w:r>
        <w:rPr>
          <w:sz w:val="20"/>
          <w:szCs w:val="20"/>
        </w:rPr>
        <w:t>y affect our financial condition, results of operations, business strategy, and financial needs. Our statements can be affected by inaccurate assumptions we might make or by known or unknown risks, uncertainties and assumptions, including the risks, uncert</w:t>
      </w:r>
      <w:r>
        <w:rPr>
          <w:sz w:val="20"/>
          <w:szCs w:val="20"/>
        </w:rPr>
        <w:t>ainties, and assumptions described in "Risk Factors" included elsewhere in this Annual Report and in other reports, documents, and other information we file with the Securities and Exchange Commission, or the SEC, from time to time</w:t>
      </w:r>
      <w:r>
        <w:rPr>
          <w:sz w:val="20"/>
          <w:szCs w:val="20"/>
        </w:rPr>
        <w:t>.</w:t>
      </w:r>
    </w:p>
    <w:p w:rsidR="00000000" w:rsidRDefault="006D723D">
      <w:pPr>
        <w:pStyle w:val="a3"/>
        <w:spacing w:before="240" w:beforeAutospacing="0" w:after="0" w:afterAutospacing="0"/>
        <w:jc w:val="both"/>
        <w:rPr>
          <w:sz w:val="20"/>
          <w:szCs w:val="20"/>
        </w:rPr>
      </w:pPr>
      <w:r>
        <w:rPr>
          <w:sz w:val="20"/>
          <w:szCs w:val="20"/>
        </w:rPr>
        <w:t>In light of these risks</w:t>
      </w:r>
      <w:r>
        <w:rPr>
          <w:sz w:val="20"/>
          <w:szCs w:val="20"/>
        </w:rPr>
        <w:t>, uncertainties and assumptions, the forward-looking events and circumstances discussed in this Annual Report may not occur and actual results could differ materially from those anticipated or implied in the forward-looking statements. When you consider th</w:t>
      </w:r>
      <w:r>
        <w:rPr>
          <w:sz w:val="20"/>
          <w:szCs w:val="20"/>
        </w:rPr>
        <w:t>ese forward-looking statements, you should keep in mind the risk factors and other cautionary statements in this Annual Report, including in "Management's Discussion and Analysis of Financial Condition and Results of Operations," "Business" and "Risk Facto</w:t>
      </w:r>
      <w:r>
        <w:rPr>
          <w:sz w:val="20"/>
          <w:szCs w:val="20"/>
        </w:rPr>
        <w:t>rs.</w:t>
      </w:r>
      <w:r>
        <w:rPr>
          <w:sz w:val="20"/>
          <w:szCs w:val="20"/>
        </w:rPr>
        <w:t>"</w:t>
      </w:r>
    </w:p>
    <w:p w:rsidR="00000000" w:rsidRDefault="006D723D">
      <w:pPr>
        <w:pStyle w:val="a3"/>
        <w:spacing w:before="240" w:beforeAutospacing="0" w:after="0" w:afterAutospacing="0"/>
        <w:jc w:val="both"/>
        <w:rPr>
          <w:sz w:val="20"/>
          <w:szCs w:val="20"/>
        </w:rPr>
      </w:pPr>
      <w:r>
        <w:rPr>
          <w:sz w:val="20"/>
          <w:szCs w:val="20"/>
        </w:rPr>
        <w:t>Our forward-looking statements speak only as of the date made. We undertake no obligation to publicly update or revise any forward-looking statements, whether as a result of new information, future events or circumstances or otherwise, except as requi</w:t>
      </w:r>
      <w:r>
        <w:rPr>
          <w:sz w:val="20"/>
          <w:szCs w:val="20"/>
        </w:rPr>
        <w:t>red by law. All subsequent written and oral forward-looking statements attributable to us or persons acting on our behalf are expressly qualified in their entirety by the cautionary statements contained in this Annual Report</w:t>
      </w:r>
      <w:r>
        <w:rPr>
          <w:sz w:val="20"/>
          <w:szCs w:val="20"/>
        </w:rPr>
        <w:t>.</w:t>
      </w:r>
      <w:r>
        <w:rPr>
          <w:sz w:val="20"/>
          <w:szCs w:val="20"/>
        </w:rPr>
        <w:t xml:space="preserve"> </w:t>
      </w:r>
    </w:p>
    <w:p w:rsidR="00000000" w:rsidRDefault="006D723D">
      <w:pPr>
        <w:pStyle w:val="a3"/>
        <w:spacing w:before="0" w:beforeAutospacing="0" w:after="0" w:afterAutospacing="0"/>
        <w:rPr>
          <w:sz w:val="20"/>
          <w:szCs w:val="20"/>
        </w:rPr>
      </w:pPr>
      <w:r>
        <w:rPr>
          <w:sz w:val="20"/>
          <w:szCs w:val="20"/>
        </w:rPr>
        <w:lastRenderedPageBreak/>
        <w:t> </w:t>
      </w:r>
    </w:p>
    <w:p w:rsidR="00000000" w:rsidRDefault="006D723D">
      <w:pPr>
        <w:pStyle w:val="a3"/>
        <w:spacing w:before="200" w:beforeAutospacing="0" w:after="0" w:afterAutospacing="0"/>
        <w:jc w:val="center"/>
        <w:rPr>
          <w:sz w:val="20"/>
          <w:szCs w:val="20"/>
        </w:rPr>
      </w:pPr>
      <w:r>
        <w:rPr>
          <w:sz w:val="20"/>
          <w:szCs w:val="20"/>
        </w:rPr>
        <w:t>4</w:t>
      </w:r>
    </w:p>
    <w:p w:rsidR="00000000" w:rsidRDefault="006D723D">
      <w:pPr>
        <w:rPr>
          <w:rFonts w:eastAsia="Times New Roman"/>
        </w:rPr>
      </w:pPr>
      <w:r>
        <w:rPr>
          <w:rFonts w:eastAsia="Times New Roman"/>
        </w:rPr>
        <w:pict>
          <v:rect id="_x0000_i1028"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120" w:beforeAutospacing="0" w:after="0" w:afterAutospacing="0"/>
        <w:jc w:val="center"/>
        <w:rPr>
          <w:sz w:val="20"/>
          <w:szCs w:val="20"/>
        </w:rPr>
      </w:pPr>
      <w:r>
        <w:rPr>
          <w:b/>
          <w:bCs/>
          <w:sz w:val="20"/>
          <w:szCs w:val="20"/>
        </w:rPr>
        <w:t>RISK FACTORS SUMMAR</w:t>
      </w:r>
      <w:r>
        <w:rPr>
          <w:b/>
          <w:bCs/>
          <w:sz w:val="20"/>
          <w:szCs w:val="20"/>
        </w:rPr>
        <w:t>Y</w:t>
      </w:r>
    </w:p>
    <w:p w:rsidR="00000000" w:rsidRDefault="006D723D">
      <w:pPr>
        <w:pStyle w:val="a3"/>
        <w:spacing w:before="240" w:beforeAutospacing="0" w:after="0" w:afterAutospacing="0"/>
        <w:jc w:val="both"/>
        <w:rPr>
          <w:sz w:val="20"/>
          <w:szCs w:val="20"/>
        </w:rPr>
      </w:pPr>
      <w:r>
        <w:rPr>
          <w:sz w:val="20"/>
          <w:szCs w:val="20"/>
        </w:rPr>
        <w:t>Our business faces significant risks and uncertainties. If any of the following risks are realized, our business, financial condition and results of operations could be materially and adversely affected. You should carefu</w:t>
      </w:r>
      <w:r>
        <w:rPr>
          <w:sz w:val="20"/>
          <w:szCs w:val="20"/>
        </w:rPr>
        <w:t>lly review and consider the full discussion of our risk factors in "Part I, Item 1A. Risk Factors" of this Annual Report. Set forth below is a summary list of the principal risk factors as of the date of the filing of this Annual Report</w:t>
      </w:r>
      <w:r>
        <w:rPr>
          <w:sz w:val="20"/>
          <w:szCs w:val="20"/>
        </w:rPr>
        <w:t>.</w:t>
      </w:r>
    </w:p>
    <w:p w:rsidR="00000000" w:rsidRDefault="006D723D">
      <w:pPr>
        <w:jc w:val="both"/>
        <w:divId w:val="300039728"/>
        <w:rPr>
          <w:rFonts w:eastAsia="Times New Roman"/>
        </w:rPr>
      </w:pPr>
      <w:r>
        <w:rPr>
          <w:rFonts w:eastAsia="Times New Roman"/>
          <w:sz w:val="20"/>
          <w:szCs w:val="20"/>
        </w:rPr>
        <w:t>•</w:t>
      </w:r>
    </w:p>
    <w:p w:rsidR="00000000" w:rsidRDefault="006D723D">
      <w:pPr>
        <w:jc w:val="both"/>
        <w:divId w:val="516888148"/>
        <w:rPr>
          <w:rFonts w:eastAsia="Times New Roman"/>
        </w:rPr>
      </w:pPr>
      <w:r>
        <w:rPr>
          <w:rFonts w:eastAsia="Times New Roman"/>
          <w:sz w:val="20"/>
          <w:szCs w:val="20"/>
        </w:rPr>
        <w:t>Resistance to pr</w:t>
      </w:r>
      <w:r>
        <w:rPr>
          <w:rFonts w:eastAsia="Times New Roman"/>
          <w:sz w:val="20"/>
          <w:szCs w:val="20"/>
        </w:rPr>
        <w:t>ivatization of correctional, detention, and residential reentry facilities, and negative publicity regarding inmate disturbances or perceived poor operational performance, could result in our inability to obtain new contracts, the loss of existing contract</w:t>
      </w:r>
      <w:r>
        <w:rPr>
          <w:rFonts w:eastAsia="Times New Roman"/>
          <w:sz w:val="20"/>
          <w:szCs w:val="20"/>
        </w:rPr>
        <w:t>s, or other unforeseen consequences.</w:t>
      </w:r>
      <w:r>
        <w:rPr>
          <w:rFonts w:eastAsia="Times New Roman"/>
          <w:sz w:val="20"/>
          <w:szCs w:val="20"/>
        </w:rPr>
        <w:t xml:space="preserve"> </w:t>
      </w:r>
    </w:p>
    <w:p w:rsidR="00000000" w:rsidRDefault="006D723D">
      <w:pPr>
        <w:jc w:val="both"/>
        <w:divId w:val="1740059357"/>
        <w:rPr>
          <w:rFonts w:eastAsia="Times New Roman"/>
        </w:rPr>
      </w:pPr>
      <w:r>
        <w:rPr>
          <w:rFonts w:eastAsia="Times New Roman"/>
          <w:sz w:val="20"/>
          <w:szCs w:val="20"/>
        </w:rPr>
        <w:t>•</w:t>
      </w:r>
    </w:p>
    <w:p w:rsidR="00000000" w:rsidRDefault="006D723D">
      <w:pPr>
        <w:jc w:val="both"/>
        <w:divId w:val="1621916930"/>
        <w:rPr>
          <w:rFonts w:eastAsia="Times New Roman"/>
        </w:rPr>
      </w:pPr>
      <w:r>
        <w:rPr>
          <w:rFonts w:eastAsia="Times New Roman"/>
          <w:sz w:val="20"/>
          <w:szCs w:val="20"/>
        </w:rPr>
        <w:t>We are subject to fluctuations in occupancy levels, and a decrease in occupancy levels could cause a decrease in revenues and profitability</w:t>
      </w:r>
      <w:r>
        <w:rPr>
          <w:rFonts w:eastAsia="Times New Roman"/>
          <w:sz w:val="20"/>
          <w:szCs w:val="20"/>
        </w:rPr>
        <w:t>.</w:t>
      </w:r>
    </w:p>
    <w:p w:rsidR="00000000" w:rsidRDefault="006D723D">
      <w:pPr>
        <w:jc w:val="both"/>
        <w:divId w:val="1124930741"/>
        <w:rPr>
          <w:rFonts w:eastAsia="Times New Roman"/>
        </w:rPr>
      </w:pPr>
      <w:r>
        <w:rPr>
          <w:rFonts w:eastAsia="Times New Roman"/>
          <w:sz w:val="20"/>
          <w:szCs w:val="20"/>
        </w:rPr>
        <w:t>•</w:t>
      </w:r>
    </w:p>
    <w:p w:rsidR="00000000" w:rsidRDefault="006D723D">
      <w:pPr>
        <w:jc w:val="both"/>
        <w:divId w:val="1778745141"/>
        <w:rPr>
          <w:rFonts w:eastAsia="Times New Roman"/>
        </w:rPr>
      </w:pPr>
      <w:r>
        <w:rPr>
          <w:rFonts w:eastAsia="Times New Roman"/>
          <w:sz w:val="20"/>
          <w:szCs w:val="20"/>
        </w:rPr>
        <w:t>We are dependent on government appropriations, and our results of operati</w:t>
      </w:r>
      <w:r>
        <w:rPr>
          <w:rFonts w:eastAsia="Times New Roman"/>
          <w:sz w:val="20"/>
          <w:szCs w:val="20"/>
        </w:rPr>
        <w:t>ons may be negatively affected by governmental budgetary challenges or government shutdowns.</w:t>
      </w:r>
      <w:r>
        <w:rPr>
          <w:rFonts w:eastAsia="Times New Roman"/>
          <w:sz w:val="20"/>
          <w:szCs w:val="20"/>
        </w:rPr>
        <w:t xml:space="preserve"> </w:t>
      </w:r>
    </w:p>
    <w:p w:rsidR="00000000" w:rsidRDefault="006D723D">
      <w:pPr>
        <w:jc w:val="both"/>
        <w:divId w:val="782261358"/>
        <w:rPr>
          <w:rFonts w:eastAsia="Times New Roman"/>
        </w:rPr>
      </w:pPr>
      <w:r>
        <w:rPr>
          <w:rFonts w:eastAsia="Times New Roman"/>
          <w:sz w:val="20"/>
          <w:szCs w:val="20"/>
        </w:rPr>
        <w:t>•</w:t>
      </w:r>
    </w:p>
    <w:p w:rsidR="00000000" w:rsidRDefault="006D723D">
      <w:pPr>
        <w:jc w:val="both"/>
        <w:divId w:val="2079089509"/>
        <w:rPr>
          <w:rFonts w:eastAsia="Times New Roman"/>
        </w:rPr>
      </w:pPr>
      <w:r>
        <w:rPr>
          <w:rFonts w:eastAsia="Times New Roman"/>
          <w:sz w:val="20"/>
          <w:szCs w:val="20"/>
        </w:rPr>
        <w:t>Efforts to reduce the U.S. federal deficit could adversely affect our liquidity, results of operations and financial condition</w:t>
      </w:r>
      <w:r>
        <w:rPr>
          <w:rFonts w:eastAsia="Times New Roman"/>
          <w:sz w:val="20"/>
          <w:szCs w:val="20"/>
        </w:rPr>
        <w:t>.</w:t>
      </w:r>
    </w:p>
    <w:p w:rsidR="00000000" w:rsidRDefault="006D723D">
      <w:pPr>
        <w:jc w:val="both"/>
        <w:divId w:val="1165514965"/>
        <w:rPr>
          <w:rFonts w:eastAsia="Times New Roman"/>
        </w:rPr>
      </w:pPr>
      <w:r>
        <w:rPr>
          <w:rFonts w:eastAsia="Times New Roman"/>
          <w:sz w:val="20"/>
          <w:szCs w:val="20"/>
        </w:rPr>
        <w:t>•</w:t>
      </w:r>
    </w:p>
    <w:p w:rsidR="00000000" w:rsidRDefault="006D723D">
      <w:pPr>
        <w:jc w:val="both"/>
        <w:divId w:val="369259923"/>
        <w:rPr>
          <w:rFonts w:eastAsia="Times New Roman"/>
        </w:rPr>
      </w:pPr>
      <w:r>
        <w:rPr>
          <w:rFonts w:eastAsia="Times New Roman"/>
          <w:sz w:val="20"/>
          <w:szCs w:val="20"/>
        </w:rPr>
        <w:t>The COVID-19 pandemic has had,</w:t>
      </w:r>
      <w:r>
        <w:rPr>
          <w:rFonts w:eastAsia="Times New Roman"/>
          <w:sz w:val="20"/>
          <w:szCs w:val="20"/>
        </w:rPr>
        <w:t xml:space="preserve"> and we expect could continue to have, certain negative effects on our business, and such effects may have a material adverse effect on our results of operations, financial condition and cash flow</w:t>
      </w:r>
      <w:r>
        <w:rPr>
          <w:rFonts w:eastAsia="Times New Roman"/>
          <w:sz w:val="20"/>
          <w:szCs w:val="20"/>
        </w:rPr>
        <w:t>s</w:t>
      </w:r>
      <w:r>
        <w:rPr>
          <w:rFonts w:eastAsia="Times New Roman"/>
          <w:b/>
          <w:bCs/>
          <w:sz w:val="20"/>
          <w:szCs w:val="20"/>
        </w:rPr>
        <w:t>.</w:t>
      </w:r>
      <w:r>
        <w:rPr>
          <w:rFonts w:eastAsia="Times New Roman"/>
          <w:b/>
          <w:bCs/>
          <w:sz w:val="20"/>
          <w:szCs w:val="20"/>
        </w:rPr>
        <w:t xml:space="preserve"> </w:t>
      </w:r>
    </w:p>
    <w:p w:rsidR="00000000" w:rsidRDefault="006D723D">
      <w:pPr>
        <w:jc w:val="both"/>
        <w:divId w:val="1884975074"/>
        <w:rPr>
          <w:rFonts w:eastAsia="Times New Roman"/>
        </w:rPr>
      </w:pPr>
      <w:r>
        <w:rPr>
          <w:rFonts w:eastAsia="Times New Roman"/>
          <w:sz w:val="20"/>
          <w:szCs w:val="20"/>
        </w:rPr>
        <w:t>•</w:t>
      </w:r>
    </w:p>
    <w:p w:rsidR="00000000" w:rsidRDefault="006D723D">
      <w:pPr>
        <w:jc w:val="both"/>
        <w:divId w:val="413163132"/>
        <w:rPr>
          <w:rFonts w:eastAsia="Times New Roman"/>
        </w:rPr>
      </w:pPr>
      <w:r>
        <w:rPr>
          <w:rFonts w:eastAsia="Times New Roman"/>
          <w:sz w:val="20"/>
          <w:szCs w:val="20"/>
        </w:rPr>
        <w:t xml:space="preserve">Competition may adversely affect the profitability of </w:t>
      </w:r>
      <w:r>
        <w:rPr>
          <w:rFonts w:eastAsia="Times New Roman"/>
          <w:sz w:val="20"/>
          <w:szCs w:val="20"/>
        </w:rPr>
        <w:t>our business.</w:t>
      </w:r>
      <w:r>
        <w:rPr>
          <w:rFonts w:eastAsia="Times New Roman"/>
          <w:sz w:val="20"/>
          <w:szCs w:val="20"/>
        </w:rPr>
        <w:t xml:space="preserve"> </w:t>
      </w:r>
    </w:p>
    <w:p w:rsidR="00000000" w:rsidRDefault="006D723D">
      <w:pPr>
        <w:jc w:val="both"/>
        <w:divId w:val="1044255322"/>
        <w:rPr>
          <w:rFonts w:eastAsia="Times New Roman"/>
        </w:rPr>
      </w:pPr>
      <w:r>
        <w:rPr>
          <w:rFonts w:eastAsia="Times New Roman"/>
          <w:sz w:val="20"/>
          <w:szCs w:val="20"/>
        </w:rPr>
        <w:t>•</w:t>
      </w:r>
    </w:p>
    <w:p w:rsidR="00000000" w:rsidRDefault="006D723D">
      <w:pPr>
        <w:jc w:val="both"/>
        <w:divId w:val="1610624905"/>
        <w:rPr>
          <w:rFonts w:eastAsia="Times New Roman"/>
        </w:rPr>
      </w:pPr>
      <w:r>
        <w:rPr>
          <w:rFonts w:eastAsia="Times New Roman"/>
          <w:sz w:val="20"/>
          <w:szCs w:val="20"/>
        </w:rPr>
        <w:t>We are subject to terminations, non-renewals, or competitive re-bids of our government contracts.</w:t>
      </w:r>
      <w:r>
        <w:rPr>
          <w:rFonts w:eastAsia="Times New Roman"/>
          <w:sz w:val="20"/>
          <w:szCs w:val="20"/>
        </w:rPr>
        <w:t xml:space="preserve"> </w:t>
      </w:r>
    </w:p>
    <w:p w:rsidR="00000000" w:rsidRDefault="006D723D">
      <w:pPr>
        <w:jc w:val="both"/>
        <w:divId w:val="1771848026"/>
        <w:rPr>
          <w:rFonts w:eastAsia="Times New Roman"/>
        </w:rPr>
      </w:pPr>
      <w:r>
        <w:rPr>
          <w:rFonts w:eastAsia="Times New Roman"/>
          <w:sz w:val="20"/>
          <w:szCs w:val="20"/>
        </w:rPr>
        <w:t>•</w:t>
      </w:r>
    </w:p>
    <w:p w:rsidR="00000000" w:rsidRDefault="006D723D">
      <w:pPr>
        <w:jc w:val="both"/>
        <w:divId w:val="242686570"/>
        <w:rPr>
          <w:rFonts w:eastAsia="Times New Roman"/>
        </w:rPr>
      </w:pPr>
      <w:r>
        <w:rPr>
          <w:rFonts w:eastAsia="Times New Roman"/>
          <w:sz w:val="20"/>
          <w:szCs w:val="20"/>
        </w:rPr>
        <w:t>Our ability to secure new contracts to develop and manage correctional, detention, and residential reentry facilities depends on many factors outside our control.</w:t>
      </w:r>
      <w:r>
        <w:rPr>
          <w:rFonts w:eastAsia="Times New Roman"/>
          <w:sz w:val="20"/>
          <w:szCs w:val="20"/>
        </w:rPr>
        <w:t xml:space="preserve"> </w:t>
      </w:r>
    </w:p>
    <w:p w:rsidR="00000000" w:rsidRDefault="006D723D">
      <w:pPr>
        <w:jc w:val="both"/>
        <w:divId w:val="793133367"/>
        <w:rPr>
          <w:rFonts w:eastAsia="Times New Roman"/>
        </w:rPr>
      </w:pPr>
      <w:r>
        <w:rPr>
          <w:rFonts w:eastAsia="Times New Roman"/>
          <w:sz w:val="20"/>
          <w:szCs w:val="20"/>
        </w:rPr>
        <w:t>•</w:t>
      </w:r>
    </w:p>
    <w:p w:rsidR="00000000" w:rsidRDefault="006D723D">
      <w:pPr>
        <w:jc w:val="both"/>
        <w:divId w:val="1020542885"/>
        <w:rPr>
          <w:rFonts w:eastAsia="Times New Roman"/>
        </w:rPr>
      </w:pPr>
      <w:r>
        <w:rPr>
          <w:rFonts w:eastAsia="Times New Roman"/>
          <w:sz w:val="20"/>
          <w:szCs w:val="20"/>
        </w:rPr>
        <w:t>We may face community opposition to facility location, which may adversely affect our abil</w:t>
      </w:r>
      <w:r>
        <w:rPr>
          <w:rFonts w:eastAsia="Times New Roman"/>
          <w:sz w:val="20"/>
          <w:szCs w:val="20"/>
        </w:rPr>
        <w:t>ity to obtain new contracts.</w:t>
      </w:r>
      <w:r>
        <w:rPr>
          <w:rFonts w:eastAsia="Times New Roman"/>
          <w:sz w:val="20"/>
          <w:szCs w:val="20"/>
        </w:rPr>
        <w:t xml:space="preserve"> </w:t>
      </w:r>
    </w:p>
    <w:p w:rsidR="00000000" w:rsidRDefault="006D723D">
      <w:pPr>
        <w:jc w:val="both"/>
        <w:divId w:val="2074352753"/>
        <w:rPr>
          <w:rFonts w:eastAsia="Times New Roman"/>
        </w:rPr>
      </w:pPr>
      <w:r>
        <w:rPr>
          <w:rFonts w:eastAsia="Times New Roman"/>
          <w:sz w:val="20"/>
          <w:szCs w:val="20"/>
        </w:rPr>
        <w:t>•</w:t>
      </w:r>
    </w:p>
    <w:p w:rsidR="00000000" w:rsidRDefault="006D723D">
      <w:pPr>
        <w:jc w:val="both"/>
        <w:divId w:val="1936130835"/>
        <w:rPr>
          <w:rFonts w:eastAsia="Times New Roman"/>
        </w:rPr>
      </w:pPr>
      <w:r>
        <w:rPr>
          <w:rFonts w:eastAsia="Times New Roman"/>
          <w:sz w:val="20"/>
          <w:szCs w:val="20"/>
        </w:rPr>
        <w:t>Providing family residential services increases certain unique risks and difficulties compared to operating our other facilities.</w:t>
      </w:r>
      <w:r>
        <w:rPr>
          <w:rFonts w:eastAsia="Times New Roman"/>
          <w:sz w:val="20"/>
          <w:szCs w:val="20"/>
        </w:rPr>
        <w:t xml:space="preserve"> </w:t>
      </w:r>
    </w:p>
    <w:p w:rsidR="00000000" w:rsidRDefault="006D723D">
      <w:pPr>
        <w:jc w:val="both"/>
        <w:divId w:val="733090373"/>
        <w:rPr>
          <w:rFonts w:eastAsia="Times New Roman"/>
        </w:rPr>
      </w:pPr>
      <w:r>
        <w:rPr>
          <w:rFonts w:eastAsia="Times New Roman"/>
          <w:sz w:val="20"/>
          <w:szCs w:val="20"/>
        </w:rPr>
        <w:t>•</w:t>
      </w:r>
    </w:p>
    <w:p w:rsidR="00000000" w:rsidRDefault="006D723D">
      <w:pPr>
        <w:jc w:val="both"/>
        <w:divId w:val="868103460"/>
        <w:rPr>
          <w:rFonts w:eastAsia="Times New Roman"/>
        </w:rPr>
      </w:pPr>
      <w:r>
        <w:rPr>
          <w:rFonts w:eastAsia="Times New Roman"/>
          <w:sz w:val="20"/>
          <w:szCs w:val="20"/>
        </w:rPr>
        <w:t>We may incur significant start-up and operating costs on new contracts before receiving rel</w:t>
      </w:r>
      <w:r>
        <w:rPr>
          <w:rFonts w:eastAsia="Times New Roman"/>
          <w:sz w:val="20"/>
          <w:szCs w:val="20"/>
        </w:rPr>
        <w:t>ated revenues, which may impact our cash flows and not be recouped.</w:t>
      </w:r>
      <w:r>
        <w:rPr>
          <w:rFonts w:eastAsia="Times New Roman"/>
          <w:sz w:val="20"/>
          <w:szCs w:val="20"/>
        </w:rPr>
        <w:t xml:space="preserve"> </w:t>
      </w:r>
    </w:p>
    <w:p w:rsidR="00000000" w:rsidRDefault="006D723D">
      <w:pPr>
        <w:jc w:val="both"/>
        <w:divId w:val="1610702696"/>
        <w:rPr>
          <w:rFonts w:eastAsia="Times New Roman"/>
        </w:rPr>
      </w:pPr>
      <w:r>
        <w:rPr>
          <w:rFonts w:eastAsia="Times New Roman"/>
          <w:sz w:val="20"/>
          <w:szCs w:val="20"/>
        </w:rPr>
        <w:t>•</w:t>
      </w:r>
    </w:p>
    <w:p w:rsidR="00000000" w:rsidRDefault="006D723D">
      <w:pPr>
        <w:jc w:val="both"/>
        <w:divId w:val="1721635867"/>
        <w:rPr>
          <w:rFonts w:eastAsia="Times New Roman"/>
        </w:rPr>
      </w:pPr>
      <w:r>
        <w:rPr>
          <w:rFonts w:eastAsia="Times New Roman"/>
          <w:sz w:val="20"/>
          <w:szCs w:val="20"/>
        </w:rPr>
        <w:t>Government agencies may investigate and audit our contracts and operational performance, and if any deficiencies or improprieties are found, we may be required to cure those deficiencie</w:t>
      </w:r>
      <w:r>
        <w:rPr>
          <w:rFonts w:eastAsia="Times New Roman"/>
          <w:sz w:val="20"/>
          <w:szCs w:val="20"/>
        </w:rPr>
        <w:t>s or improprieties, refund revenues we have received, or forego anticipated revenues, and we may be subject to penalties and sanctions, including contract termination and prohibitions on our bidding in response to Requests for Proposals.</w:t>
      </w:r>
      <w:r>
        <w:rPr>
          <w:rFonts w:eastAsia="Times New Roman"/>
          <w:sz w:val="20"/>
          <w:szCs w:val="20"/>
        </w:rPr>
        <w:t xml:space="preserve"> </w:t>
      </w:r>
    </w:p>
    <w:p w:rsidR="00000000" w:rsidRDefault="006D723D">
      <w:pPr>
        <w:jc w:val="both"/>
        <w:divId w:val="396783661"/>
        <w:rPr>
          <w:rFonts w:eastAsia="Times New Roman"/>
        </w:rPr>
      </w:pPr>
      <w:r>
        <w:rPr>
          <w:rFonts w:eastAsia="Times New Roman"/>
          <w:sz w:val="20"/>
          <w:szCs w:val="20"/>
        </w:rPr>
        <w:t>•</w:t>
      </w:r>
    </w:p>
    <w:p w:rsidR="00000000" w:rsidRDefault="006D723D">
      <w:pPr>
        <w:jc w:val="both"/>
        <w:divId w:val="943422006"/>
        <w:rPr>
          <w:rFonts w:eastAsia="Times New Roman"/>
        </w:rPr>
      </w:pPr>
      <w:r>
        <w:rPr>
          <w:rFonts w:eastAsia="Times New Roman"/>
          <w:sz w:val="20"/>
          <w:szCs w:val="20"/>
        </w:rPr>
        <w:t>Failure to comp</w:t>
      </w:r>
      <w:r>
        <w:rPr>
          <w:rFonts w:eastAsia="Times New Roman"/>
          <w:sz w:val="20"/>
          <w:szCs w:val="20"/>
        </w:rPr>
        <w:t xml:space="preserve">ly with facility contracts or with unique and increased governmental regulation could result in material penalties or non-renewal or termination of noncompliant contracts or our other contracts to provide or manage correctional, detention, and residential </w:t>
      </w:r>
      <w:r>
        <w:rPr>
          <w:rFonts w:eastAsia="Times New Roman"/>
          <w:sz w:val="20"/>
          <w:szCs w:val="20"/>
        </w:rPr>
        <w:t>reentry facilities.</w:t>
      </w:r>
      <w:r>
        <w:rPr>
          <w:rFonts w:eastAsia="Times New Roman"/>
          <w:sz w:val="20"/>
          <w:szCs w:val="20"/>
        </w:rPr>
        <w:t xml:space="preserve"> </w:t>
      </w:r>
    </w:p>
    <w:p w:rsidR="00000000" w:rsidRDefault="006D723D">
      <w:pPr>
        <w:jc w:val="both"/>
        <w:divId w:val="1347829937"/>
        <w:rPr>
          <w:rFonts w:eastAsia="Times New Roman"/>
        </w:rPr>
      </w:pPr>
      <w:r>
        <w:rPr>
          <w:rFonts w:eastAsia="Times New Roman"/>
          <w:sz w:val="20"/>
          <w:szCs w:val="20"/>
        </w:rPr>
        <w:t>•</w:t>
      </w:r>
    </w:p>
    <w:p w:rsidR="00000000" w:rsidRDefault="006D723D">
      <w:pPr>
        <w:jc w:val="both"/>
        <w:divId w:val="215776634"/>
        <w:rPr>
          <w:rFonts w:eastAsia="Times New Roman"/>
        </w:rPr>
      </w:pPr>
      <w:r>
        <w:rPr>
          <w:rFonts w:eastAsia="Times New Roman"/>
          <w:sz w:val="20"/>
          <w:szCs w:val="20"/>
        </w:rPr>
        <w:t>We depend on a limited number of governmental customers for a significant portion of our revenues.</w:t>
      </w:r>
      <w:r>
        <w:rPr>
          <w:rFonts w:eastAsia="Times New Roman"/>
          <w:sz w:val="20"/>
          <w:szCs w:val="20"/>
        </w:rPr>
        <w:t xml:space="preserve"> </w:t>
      </w:r>
    </w:p>
    <w:p w:rsidR="00000000" w:rsidRDefault="006D723D">
      <w:pPr>
        <w:jc w:val="both"/>
        <w:divId w:val="142090107"/>
        <w:rPr>
          <w:rFonts w:eastAsia="Times New Roman"/>
        </w:rPr>
      </w:pPr>
      <w:r>
        <w:rPr>
          <w:rFonts w:eastAsia="Times New Roman"/>
          <w:sz w:val="20"/>
          <w:szCs w:val="20"/>
        </w:rPr>
        <w:t>•</w:t>
      </w:r>
    </w:p>
    <w:p w:rsidR="00000000" w:rsidRDefault="006D723D">
      <w:pPr>
        <w:jc w:val="both"/>
        <w:divId w:val="1366641533"/>
        <w:rPr>
          <w:rFonts w:eastAsia="Times New Roman"/>
        </w:rPr>
      </w:pPr>
      <w:r>
        <w:rPr>
          <w:rFonts w:eastAsia="Times New Roman"/>
          <w:sz w:val="20"/>
          <w:szCs w:val="20"/>
        </w:rPr>
        <w:lastRenderedPageBreak/>
        <w:t xml:space="preserve">As a result of our acquisitions, we have recorded and will continue to record goodwill and other intangible assets. In the future, </w:t>
      </w:r>
      <w:r>
        <w:rPr>
          <w:rFonts w:eastAsia="Times New Roman"/>
          <w:sz w:val="20"/>
          <w:szCs w:val="20"/>
        </w:rPr>
        <w:t>our goodwill or other intangible assets may become impaired, which could result in non-cash charges to our results of operations.</w:t>
      </w:r>
      <w:r>
        <w:rPr>
          <w:rFonts w:eastAsia="Times New Roman"/>
          <w:sz w:val="20"/>
          <w:szCs w:val="20"/>
        </w:rPr>
        <w:t xml:space="preserve"> </w:t>
      </w:r>
    </w:p>
    <w:p w:rsidR="00000000" w:rsidRDefault="006D723D">
      <w:pPr>
        <w:jc w:val="both"/>
        <w:divId w:val="135419780"/>
        <w:rPr>
          <w:rFonts w:eastAsia="Times New Roman"/>
        </w:rPr>
      </w:pPr>
      <w:r>
        <w:rPr>
          <w:rFonts w:eastAsia="Times New Roman"/>
          <w:sz w:val="20"/>
          <w:szCs w:val="20"/>
        </w:rPr>
        <w:t>•</w:t>
      </w:r>
    </w:p>
    <w:p w:rsidR="00000000" w:rsidRDefault="006D723D">
      <w:pPr>
        <w:jc w:val="both"/>
        <w:divId w:val="1397359406"/>
        <w:rPr>
          <w:rFonts w:eastAsia="Times New Roman"/>
        </w:rPr>
      </w:pPr>
      <w:r>
        <w:rPr>
          <w:rFonts w:eastAsia="Times New Roman"/>
          <w:sz w:val="20"/>
          <w:szCs w:val="20"/>
        </w:rPr>
        <w:t>We are dependent upon our senior management and our ability to attract and retain sufficient qualified personnel</w:t>
      </w:r>
      <w:r>
        <w:rPr>
          <w:rFonts w:eastAsia="Times New Roman"/>
          <w:sz w:val="20"/>
          <w:szCs w:val="20"/>
        </w:rPr>
        <w:t>.</w:t>
      </w:r>
    </w:p>
    <w:p w:rsidR="00000000" w:rsidRDefault="006D723D">
      <w:pPr>
        <w:jc w:val="both"/>
        <w:divId w:val="1816675794"/>
        <w:rPr>
          <w:rFonts w:eastAsia="Times New Roman"/>
        </w:rPr>
      </w:pPr>
      <w:r>
        <w:rPr>
          <w:rFonts w:eastAsia="Times New Roman"/>
          <w:sz w:val="20"/>
          <w:szCs w:val="20"/>
        </w:rPr>
        <w:t>•</w:t>
      </w:r>
    </w:p>
    <w:p w:rsidR="00000000" w:rsidRDefault="006D723D">
      <w:pPr>
        <w:jc w:val="both"/>
        <w:divId w:val="243150170"/>
        <w:rPr>
          <w:rFonts w:eastAsia="Times New Roman"/>
        </w:rPr>
      </w:pPr>
      <w:r>
        <w:rPr>
          <w:rFonts w:eastAsia="Times New Roman"/>
          <w:sz w:val="20"/>
          <w:szCs w:val="20"/>
        </w:rPr>
        <w:t xml:space="preserve">We are </w:t>
      </w:r>
      <w:r>
        <w:rPr>
          <w:rFonts w:eastAsia="Times New Roman"/>
          <w:sz w:val="20"/>
          <w:szCs w:val="20"/>
        </w:rPr>
        <w:t>subject to various types of litigation</w:t>
      </w:r>
      <w:r>
        <w:rPr>
          <w:rFonts w:eastAsia="Times New Roman"/>
          <w:sz w:val="20"/>
          <w:szCs w:val="20"/>
        </w:rPr>
        <w:t>.</w:t>
      </w:r>
    </w:p>
    <w:p w:rsidR="00000000" w:rsidRDefault="006D723D">
      <w:pPr>
        <w:jc w:val="both"/>
        <w:divId w:val="2049180444"/>
        <w:rPr>
          <w:rFonts w:eastAsia="Times New Roman"/>
        </w:rPr>
      </w:pPr>
      <w:r>
        <w:rPr>
          <w:rFonts w:eastAsia="Times New Roman"/>
          <w:sz w:val="20"/>
          <w:szCs w:val="20"/>
        </w:rPr>
        <w:t>•</w:t>
      </w:r>
    </w:p>
    <w:p w:rsidR="00000000" w:rsidRDefault="006D723D">
      <w:pPr>
        <w:jc w:val="both"/>
        <w:divId w:val="788739195"/>
        <w:rPr>
          <w:rFonts w:eastAsia="Times New Roman"/>
        </w:rPr>
      </w:pPr>
      <w:r>
        <w:rPr>
          <w:rFonts w:eastAsia="Times New Roman"/>
          <w:sz w:val="20"/>
          <w:szCs w:val="20"/>
        </w:rPr>
        <w:t>We are subject to necessary insurance costs</w:t>
      </w:r>
      <w:r>
        <w:rPr>
          <w:rFonts w:eastAsia="Times New Roman"/>
          <w:sz w:val="20"/>
          <w:szCs w:val="20"/>
        </w:rPr>
        <w:t>.</w:t>
      </w:r>
    </w:p>
    <w:p w:rsidR="00000000" w:rsidRDefault="006D723D">
      <w:pPr>
        <w:jc w:val="both"/>
        <w:divId w:val="900753648"/>
        <w:rPr>
          <w:rFonts w:eastAsia="Times New Roman"/>
        </w:rPr>
      </w:pPr>
      <w:r>
        <w:rPr>
          <w:rFonts w:eastAsia="Times New Roman"/>
          <w:sz w:val="20"/>
          <w:szCs w:val="20"/>
        </w:rPr>
        <w:t>•</w:t>
      </w:r>
    </w:p>
    <w:p w:rsidR="00000000" w:rsidRDefault="006D723D">
      <w:pPr>
        <w:jc w:val="both"/>
        <w:divId w:val="1294092798"/>
        <w:rPr>
          <w:rFonts w:eastAsia="Times New Roman"/>
        </w:rPr>
      </w:pPr>
      <w:r>
        <w:rPr>
          <w:rFonts w:eastAsia="Times New Roman"/>
          <w:sz w:val="20"/>
          <w:szCs w:val="20"/>
        </w:rPr>
        <w:t>We may be adversely affected by inflation</w:t>
      </w:r>
      <w:r>
        <w:rPr>
          <w:rFonts w:eastAsia="Times New Roman"/>
          <w:sz w:val="20"/>
          <w:szCs w:val="20"/>
        </w:rPr>
        <w:t>.</w:t>
      </w:r>
    </w:p>
    <w:p w:rsidR="00000000" w:rsidRDefault="006D723D">
      <w:pPr>
        <w:jc w:val="both"/>
        <w:divId w:val="122694694"/>
        <w:rPr>
          <w:rFonts w:eastAsia="Times New Roman"/>
        </w:rPr>
      </w:pPr>
      <w:r>
        <w:rPr>
          <w:rFonts w:eastAsia="Times New Roman"/>
          <w:sz w:val="20"/>
          <w:szCs w:val="20"/>
        </w:rPr>
        <w:t>•</w:t>
      </w:r>
    </w:p>
    <w:p w:rsidR="00000000" w:rsidRDefault="006D723D">
      <w:pPr>
        <w:jc w:val="both"/>
        <w:divId w:val="1947615637"/>
        <w:rPr>
          <w:rFonts w:eastAsia="Times New Roman"/>
        </w:rPr>
      </w:pPr>
      <w:r>
        <w:rPr>
          <w:rFonts w:eastAsia="Times New Roman"/>
          <w:sz w:val="20"/>
          <w:szCs w:val="20"/>
        </w:rPr>
        <w:t>We depend in part on the performance and capabilities of third parties with whom we have commercial relationships</w:t>
      </w:r>
      <w:r>
        <w:rPr>
          <w:rFonts w:eastAsia="Times New Roman"/>
          <w:sz w:val="20"/>
          <w:szCs w:val="20"/>
        </w:rPr>
        <w:t>.</w:t>
      </w:r>
    </w:p>
    <w:p w:rsidR="00000000" w:rsidRDefault="006D723D">
      <w:pPr>
        <w:jc w:val="both"/>
        <w:divId w:val="82576332"/>
        <w:rPr>
          <w:rFonts w:eastAsia="Times New Roman"/>
        </w:rPr>
      </w:pPr>
      <w:r>
        <w:rPr>
          <w:rFonts w:eastAsia="Times New Roman"/>
          <w:sz w:val="20"/>
          <w:szCs w:val="20"/>
        </w:rPr>
        <w:t>•</w:t>
      </w:r>
    </w:p>
    <w:p w:rsidR="00000000" w:rsidRDefault="006D723D">
      <w:pPr>
        <w:jc w:val="both"/>
        <w:divId w:val="1252202381"/>
        <w:rPr>
          <w:rFonts w:eastAsia="Times New Roman"/>
        </w:rPr>
      </w:pPr>
      <w:r>
        <w:rPr>
          <w:rFonts w:eastAsia="Times New Roman"/>
          <w:sz w:val="20"/>
          <w:szCs w:val="20"/>
        </w:rPr>
        <w:t>Techn</w:t>
      </w:r>
      <w:r>
        <w:rPr>
          <w:rFonts w:eastAsia="Times New Roman"/>
          <w:sz w:val="20"/>
          <w:szCs w:val="20"/>
        </w:rPr>
        <w:t>ological changes or negative changes in the level of acceptance of, or resistance to, the use of electronic monitoring products could cause our electronic monitoring products and other technology to become obsolete or require the redesign of our electronic</w:t>
      </w:r>
      <w:r>
        <w:rPr>
          <w:rFonts w:eastAsia="Times New Roman"/>
          <w:sz w:val="20"/>
          <w:szCs w:val="20"/>
        </w:rPr>
        <w:t xml:space="preserve"> monitoring products, which could have an adverse effect on our business</w:t>
      </w:r>
      <w:r>
        <w:rPr>
          <w:rFonts w:eastAsia="Times New Roman"/>
          <w:sz w:val="20"/>
          <w:szCs w:val="20"/>
        </w:rPr>
        <w:t>.</w:t>
      </w:r>
    </w:p>
    <w:p w:rsidR="00000000" w:rsidRDefault="006D723D">
      <w:pPr>
        <w:pStyle w:val="a3"/>
        <w:spacing w:before="200" w:beforeAutospacing="0" w:after="0" w:afterAutospacing="0"/>
        <w:jc w:val="center"/>
        <w:rPr>
          <w:sz w:val="20"/>
          <w:szCs w:val="20"/>
        </w:rPr>
      </w:pPr>
      <w:r>
        <w:rPr>
          <w:sz w:val="20"/>
          <w:szCs w:val="20"/>
        </w:rPr>
        <w:t>5</w:t>
      </w:r>
    </w:p>
    <w:p w:rsidR="00000000" w:rsidRDefault="006D723D">
      <w:pPr>
        <w:rPr>
          <w:rFonts w:eastAsia="Times New Roman"/>
        </w:rPr>
      </w:pPr>
      <w:r>
        <w:rPr>
          <w:rFonts w:eastAsia="Times New Roman"/>
        </w:rPr>
        <w:pict>
          <v:rect id="_x0000_i1029"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jc w:val="both"/>
        <w:divId w:val="125707237"/>
        <w:rPr>
          <w:rFonts w:eastAsia="Times New Roman"/>
        </w:rPr>
      </w:pPr>
      <w:r>
        <w:rPr>
          <w:rFonts w:eastAsia="Times New Roman"/>
          <w:sz w:val="20"/>
          <w:szCs w:val="20"/>
        </w:rPr>
        <w:t>•</w:t>
      </w:r>
    </w:p>
    <w:p w:rsidR="00000000" w:rsidRDefault="006D723D">
      <w:pPr>
        <w:jc w:val="both"/>
        <w:divId w:val="534465955"/>
        <w:rPr>
          <w:rFonts w:eastAsia="Times New Roman"/>
        </w:rPr>
      </w:pPr>
      <w:r>
        <w:rPr>
          <w:rFonts w:eastAsia="Times New Roman"/>
          <w:sz w:val="20"/>
          <w:szCs w:val="20"/>
        </w:rPr>
        <w:t>We depend on a limited number of third parties to manufacture and supply our electronic monitoring products. If our suppliers cannot provide the products or services we require in a timely manner and with such qualit</w:t>
      </w:r>
      <w:r>
        <w:rPr>
          <w:rFonts w:eastAsia="Times New Roman"/>
          <w:sz w:val="20"/>
          <w:szCs w:val="20"/>
        </w:rPr>
        <w:t>y as we expect, our ability to market and sell our electronic monitoring products and services could be harmed</w:t>
      </w:r>
      <w:r>
        <w:rPr>
          <w:rFonts w:eastAsia="Times New Roman"/>
          <w:sz w:val="20"/>
          <w:szCs w:val="20"/>
        </w:rPr>
        <w:t>.</w:t>
      </w:r>
    </w:p>
    <w:p w:rsidR="00000000" w:rsidRDefault="006D723D">
      <w:pPr>
        <w:jc w:val="both"/>
        <w:divId w:val="798693665"/>
        <w:rPr>
          <w:rFonts w:eastAsia="Times New Roman"/>
        </w:rPr>
      </w:pPr>
      <w:r>
        <w:rPr>
          <w:rFonts w:eastAsia="Times New Roman"/>
          <w:sz w:val="20"/>
          <w:szCs w:val="20"/>
        </w:rPr>
        <w:t>•</w:t>
      </w:r>
    </w:p>
    <w:p w:rsidR="00000000" w:rsidRDefault="006D723D">
      <w:pPr>
        <w:jc w:val="both"/>
        <w:divId w:val="181629467"/>
        <w:rPr>
          <w:rFonts w:eastAsia="Times New Roman"/>
        </w:rPr>
      </w:pPr>
      <w:r>
        <w:rPr>
          <w:rFonts w:eastAsia="Times New Roman"/>
          <w:sz w:val="20"/>
          <w:szCs w:val="20"/>
        </w:rPr>
        <w:t>We may be subject to costly product liability claims from the use of our electronic monitoring products, which could damage our reputation, im</w:t>
      </w:r>
      <w:r>
        <w:rPr>
          <w:rFonts w:eastAsia="Times New Roman"/>
          <w:sz w:val="20"/>
          <w:szCs w:val="20"/>
        </w:rPr>
        <w:t>pair the marketability of our products and services and force us to pay costs and damages that may not be covered by adequate insurance</w:t>
      </w:r>
      <w:r>
        <w:rPr>
          <w:rFonts w:eastAsia="Times New Roman"/>
          <w:sz w:val="20"/>
          <w:szCs w:val="20"/>
        </w:rPr>
        <w:t>.</w:t>
      </w:r>
    </w:p>
    <w:p w:rsidR="00000000" w:rsidRDefault="006D723D">
      <w:pPr>
        <w:jc w:val="both"/>
        <w:divId w:val="669528362"/>
        <w:rPr>
          <w:rFonts w:eastAsia="Times New Roman"/>
        </w:rPr>
      </w:pPr>
      <w:r>
        <w:rPr>
          <w:rFonts w:eastAsia="Times New Roman"/>
          <w:sz w:val="20"/>
          <w:szCs w:val="20"/>
        </w:rPr>
        <w:t>•</w:t>
      </w:r>
    </w:p>
    <w:p w:rsidR="00000000" w:rsidRDefault="006D723D">
      <w:pPr>
        <w:jc w:val="both"/>
        <w:divId w:val="480854745"/>
        <w:rPr>
          <w:rFonts w:eastAsia="Times New Roman"/>
        </w:rPr>
      </w:pPr>
      <w:r>
        <w:rPr>
          <w:rFonts w:eastAsia="Times New Roman"/>
          <w:sz w:val="20"/>
          <w:szCs w:val="20"/>
        </w:rPr>
        <w:t>We are subject to risks associated with ownership of real estate</w:t>
      </w:r>
      <w:r>
        <w:rPr>
          <w:rFonts w:eastAsia="Times New Roman"/>
          <w:sz w:val="20"/>
          <w:szCs w:val="20"/>
        </w:rPr>
        <w:t>.</w:t>
      </w:r>
    </w:p>
    <w:p w:rsidR="00000000" w:rsidRDefault="006D723D">
      <w:pPr>
        <w:jc w:val="both"/>
        <w:divId w:val="1320495795"/>
        <w:rPr>
          <w:rFonts w:eastAsia="Times New Roman"/>
        </w:rPr>
      </w:pPr>
      <w:r>
        <w:rPr>
          <w:rFonts w:eastAsia="Times New Roman"/>
          <w:sz w:val="20"/>
          <w:szCs w:val="20"/>
        </w:rPr>
        <w:t>•</w:t>
      </w:r>
    </w:p>
    <w:p w:rsidR="00000000" w:rsidRDefault="006D723D">
      <w:pPr>
        <w:jc w:val="both"/>
        <w:divId w:val="968630516"/>
        <w:rPr>
          <w:rFonts w:eastAsia="Times New Roman"/>
        </w:rPr>
      </w:pPr>
      <w:r>
        <w:rPr>
          <w:rFonts w:eastAsia="Times New Roman"/>
          <w:sz w:val="20"/>
          <w:szCs w:val="20"/>
        </w:rPr>
        <w:t>We may be adversely affected by an increase in co</w:t>
      </w:r>
      <w:r>
        <w:rPr>
          <w:rFonts w:eastAsia="Times New Roman"/>
          <w:sz w:val="20"/>
          <w:szCs w:val="20"/>
        </w:rPr>
        <w:t>sts or difficulty of obtaining adequate levels of surety credit on favorable terms</w:t>
      </w:r>
      <w:r>
        <w:rPr>
          <w:rFonts w:eastAsia="Times New Roman"/>
          <w:sz w:val="20"/>
          <w:szCs w:val="20"/>
        </w:rPr>
        <w:t>.</w:t>
      </w:r>
    </w:p>
    <w:p w:rsidR="00000000" w:rsidRDefault="006D723D">
      <w:pPr>
        <w:jc w:val="both"/>
        <w:divId w:val="1044792721"/>
        <w:rPr>
          <w:rFonts w:eastAsia="Times New Roman"/>
        </w:rPr>
      </w:pPr>
      <w:r>
        <w:rPr>
          <w:rFonts w:eastAsia="Times New Roman"/>
          <w:sz w:val="20"/>
          <w:szCs w:val="20"/>
        </w:rPr>
        <w:t>•</w:t>
      </w:r>
    </w:p>
    <w:p w:rsidR="00000000" w:rsidRDefault="006D723D">
      <w:pPr>
        <w:jc w:val="both"/>
        <w:divId w:val="873811284"/>
        <w:rPr>
          <w:rFonts w:eastAsia="Times New Roman"/>
        </w:rPr>
      </w:pPr>
      <w:r>
        <w:rPr>
          <w:rFonts w:eastAsia="Times New Roman"/>
          <w:sz w:val="20"/>
          <w:szCs w:val="20"/>
        </w:rPr>
        <w:t>Interruption, delay or failure of the provision of our technology services or information systems, or the compromise of the security thereof, could adversely affect our b</w:t>
      </w:r>
      <w:r>
        <w:rPr>
          <w:rFonts w:eastAsia="Times New Roman"/>
          <w:sz w:val="20"/>
          <w:szCs w:val="20"/>
        </w:rPr>
        <w:t>usiness, financial condition or results of operations</w:t>
      </w:r>
      <w:r>
        <w:rPr>
          <w:rFonts w:eastAsia="Times New Roman"/>
          <w:sz w:val="20"/>
          <w:szCs w:val="20"/>
        </w:rPr>
        <w:t>.</w:t>
      </w:r>
    </w:p>
    <w:p w:rsidR="00000000" w:rsidRDefault="006D723D">
      <w:pPr>
        <w:jc w:val="both"/>
        <w:divId w:val="1077170887"/>
        <w:rPr>
          <w:rFonts w:eastAsia="Times New Roman"/>
        </w:rPr>
      </w:pPr>
      <w:r>
        <w:rPr>
          <w:rFonts w:eastAsia="Times New Roman"/>
          <w:sz w:val="20"/>
          <w:szCs w:val="20"/>
        </w:rPr>
        <w:t>•</w:t>
      </w:r>
    </w:p>
    <w:p w:rsidR="00000000" w:rsidRDefault="006D723D">
      <w:pPr>
        <w:jc w:val="both"/>
        <w:divId w:val="1615942133"/>
        <w:rPr>
          <w:rFonts w:eastAsia="Times New Roman"/>
        </w:rPr>
      </w:pPr>
      <w:r>
        <w:rPr>
          <w:rFonts w:eastAsia="Times New Roman"/>
          <w:sz w:val="20"/>
          <w:szCs w:val="20"/>
        </w:rPr>
        <w:t>We are subject to risks related to corporate social responsibility</w:t>
      </w:r>
      <w:r>
        <w:rPr>
          <w:rFonts w:eastAsia="Times New Roman"/>
          <w:sz w:val="20"/>
          <w:szCs w:val="20"/>
        </w:rPr>
        <w:t>.</w:t>
      </w:r>
    </w:p>
    <w:p w:rsidR="00000000" w:rsidRDefault="006D723D">
      <w:pPr>
        <w:jc w:val="both"/>
        <w:divId w:val="1339191049"/>
        <w:rPr>
          <w:rFonts w:eastAsia="Times New Roman"/>
        </w:rPr>
      </w:pPr>
      <w:r>
        <w:rPr>
          <w:rFonts w:eastAsia="Times New Roman"/>
          <w:sz w:val="20"/>
          <w:szCs w:val="20"/>
        </w:rPr>
        <w:t>•</w:t>
      </w:r>
    </w:p>
    <w:p w:rsidR="00000000" w:rsidRDefault="006D723D">
      <w:pPr>
        <w:jc w:val="both"/>
        <w:divId w:val="1107390837"/>
        <w:rPr>
          <w:rFonts w:eastAsia="Times New Roman"/>
        </w:rPr>
      </w:pPr>
      <w:r>
        <w:rPr>
          <w:rFonts w:eastAsia="Times New Roman"/>
          <w:sz w:val="20"/>
          <w:szCs w:val="20"/>
        </w:rPr>
        <w:t>As an owner and operator of correctional, detention, and residential reentry facilities, we are subject to risks relating to acts</w:t>
      </w:r>
      <w:r>
        <w:rPr>
          <w:rFonts w:eastAsia="Times New Roman"/>
          <w:sz w:val="20"/>
          <w:szCs w:val="20"/>
        </w:rPr>
        <w:t xml:space="preserve"> of God, outbreaks of epidemic or pandemic disease, global climate change, terrorist activity and war</w:t>
      </w:r>
      <w:r>
        <w:rPr>
          <w:rFonts w:eastAsia="Times New Roman"/>
          <w:sz w:val="20"/>
          <w:szCs w:val="20"/>
        </w:rPr>
        <w:t>.</w:t>
      </w:r>
    </w:p>
    <w:p w:rsidR="00000000" w:rsidRDefault="006D723D">
      <w:pPr>
        <w:jc w:val="both"/>
        <w:divId w:val="1981618693"/>
        <w:rPr>
          <w:rFonts w:eastAsia="Times New Roman"/>
        </w:rPr>
      </w:pPr>
      <w:r>
        <w:rPr>
          <w:rFonts w:eastAsia="Times New Roman"/>
          <w:sz w:val="20"/>
          <w:szCs w:val="20"/>
        </w:rPr>
        <w:t>•</w:t>
      </w:r>
    </w:p>
    <w:p w:rsidR="00000000" w:rsidRDefault="006D723D">
      <w:pPr>
        <w:jc w:val="both"/>
        <w:divId w:val="1544705727"/>
        <w:rPr>
          <w:rFonts w:eastAsia="Times New Roman"/>
        </w:rPr>
      </w:pPr>
      <w:r>
        <w:rPr>
          <w:rFonts w:eastAsia="Times New Roman"/>
          <w:sz w:val="20"/>
          <w:szCs w:val="20"/>
        </w:rPr>
        <w:t>Our indebtedness could adversely affect our financial health and prevent us from fulfilling our obligations under our debt securities</w:t>
      </w:r>
      <w:r>
        <w:rPr>
          <w:rFonts w:eastAsia="Times New Roman"/>
          <w:sz w:val="20"/>
          <w:szCs w:val="20"/>
        </w:rPr>
        <w:t>.</w:t>
      </w:r>
    </w:p>
    <w:p w:rsidR="00000000" w:rsidRDefault="006D723D">
      <w:pPr>
        <w:jc w:val="both"/>
        <w:divId w:val="723144123"/>
        <w:rPr>
          <w:rFonts w:eastAsia="Times New Roman"/>
        </w:rPr>
      </w:pPr>
      <w:r>
        <w:rPr>
          <w:rFonts w:eastAsia="Times New Roman"/>
          <w:sz w:val="20"/>
          <w:szCs w:val="20"/>
        </w:rPr>
        <w:t>•</w:t>
      </w:r>
    </w:p>
    <w:p w:rsidR="00000000" w:rsidRDefault="006D723D">
      <w:pPr>
        <w:jc w:val="both"/>
        <w:divId w:val="1254975576"/>
        <w:rPr>
          <w:rFonts w:eastAsia="Times New Roman"/>
        </w:rPr>
      </w:pPr>
      <w:r>
        <w:rPr>
          <w:rFonts w:eastAsia="Times New Roman"/>
          <w:sz w:val="20"/>
          <w:szCs w:val="20"/>
        </w:rPr>
        <w:t>Our Credit Agreements, indentures related to our senior notes, and other debt instruments have restrictive covenants that could limit our financial flexibility</w:t>
      </w:r>
      <w:r>
        <w:rPr>
          <w:rFonts w:eastAsia="Times New Roman"/>
          <w:sz w:val="20"/>
          <w:szCs w:val="20"/>
        </w:rPr>
        <w:t>.</w:t>
      </w:r>
    </w:p>
    <w:p w:rsidR="00000000" w:rsidRDefault="006D723D">
      <w:pPr>
        <w:jc w:val="both"/>
        <w:divId w:val="1415008508"/>
        <w:rPr>
          <w:rFonts w:eastAsia="Times New Roman"/>
        </w:rPr>
      </w:pPr>
      <w:r>
        <w:rPr>
          <w:rFonts w:eastAsia="Times New Roman"/>
          <w:sz w:val="20"/>
          <w:szCs w:val="20"/>
        </w:rPr>
        <w:t>•</w:t>
      </w:r>
    </w:p>
    <w:p w:rsidR="00000000" w:rsidRDefault="006D723D">
      <w:pPr>
        <w:jc w:val="both"/>
        <w:divId w:val="288976789"/>
        <w:rPr>
          <w:rFonts w:eastAsia="Times New Roman"/>
        </w:rPr>
      </w:pPr>
      <w:r>
        <w:rPr>
          <w:rFonts w:eastAsia="Times New Roman"/>
          <w:sz w:val="20"/>
          <w:szCs w:val="20"/>
        </w:rPr>
        <w:t>Our indebtedness is secured by a substantial portion of our assets</w:t>
      </w:r>
      <w:r>
        <w:rPr>
          <w:rFonts w:eastAsia="Times New Roman"/>
          <w:sz w:val="20"/>
          <w:szCs w:val="20"/>
        </w:rPr>
        <w:t>.</w:t>
      </w:r>
    </w:p>
    <w:p w:rsidR="00000000" w:rsidRDefault="006D723D">
      <w:pPr>
        <w:jc w:val="both"/>
        <w:divId w:val="980307267"/>
        <w:rPr>
          <w:rFonts w:eastAsia="Times New Roman"/>
        </w:rPr>
      </w:pPr>
      <w:r>
        <w:rPr>
          <w:rFonts w:eastAsia="Times New Roman"/>
          <w:sz w:val="20"/>
          <w:szCs w:val="20"/>
        </w:rPr>
        <w:t>•</w:t>
      </w:r>
    </w:p>
    <w:p w:rsidR="00000000" w:rsidRDefault="006D723D">
      <w:pPr>
        <w:jc w:val="both"/>
        <w:divId w:val="1949772407"/>
        <w:rPr>
          <w:rFonts w:eastAsia="Times New Roman"/>
        </w:rPr>
      </w:pPr>
      <w:r>
        <w:rPr>
          <w:rFonts w:eastAsia="Times New Roman"/>
          <w:sz w:val="20"/>
          <w:szCs w:val="20"/>
        </w:rPr>
        <w:t>Servicing our indebtedn</w:t>
      </w:r>
      <w:r>
        <w:rPr>
          <w:rFonts w:eastAsia="Times New Roman"/>
          <w:sz w:val="20"/>
          <w:szCs w:val="20"/>
        </w:rPr>
        <w:t>ess will require a significant amount of cash or may require us to refinance our indebtedness before it matures. Our ability to generate cash depends on many factors beyond our control and there is no assurance that we will be able to refinance our debt on</w:t>
      </w:r>
      <w:r>
        <w:rPr>
          <w:rFonts w:eastAsia="Times New Roman"/>
          <w:sz w:val="20"/>
          <w:szCs w:val="20"/>
        </w:rPr>
        <w:t xml:space="preserve"> acceptable terms, or at all</w:t>
      </w:r>
      <w:r>
        <w:rPr>
          <w:rFonts w:eastAsia="Times New Roman"/>
          <w:sz w:val="20"/>
          <w:szCs w:val="20"/>
        </w:rPr>
        <w:t>.</w:t>
      </w:r>
    </w:p>
    <w:p w:rsidR="00000000" w:rsidRDefault="006D723D">
      <w:pPr>
        <w:jc w:val="both"/>
        <w:divId w:val="1516306802"/>
        <w:rPr>
          <w:rFonts w:eastAsia="Times New Roman"/>
        </w:rPr>
      </w:pPr>
      <w:r>
        <w:rPr>
          <w:rFonts w:eastAsia="Times New Roman"/>
          <w:sz w:val="20"/>
          <w:szCs w:val="20"/>
        </w:rPr>
        <w:t>•</w:t>
      </w:r>
    </w:p>
    <w:p w:rsidR="00000000" w:rsidRDefault="006D723D">
      <w:pPr>
        <w:jc w:val="both"/>
        <w:divId w:val="384837310"/>
        <w:rPr>
          <w:rFonts w:eastAsia="Times New Roman"/>
        </w:rPr>
      </w:pPr>
      <w:r>
        <w:rPr>
          <w:rFonts w:eastAsia="Times New Roman"/>
          <w:sz w:val="20"/>
          <w:szCs w:val="20"/>
        </w:rPr>
        <w:t>We are required to repurchase all or a portion of our senior notes upon a change of control, and the debt under our New Bank Credit Facility is subject to acceleration upon a change of control</w:t>
      </w:r>
      <w:r>
        <w:rPr>
          <w:rFonts w:eastAsia="Times New Roman"/>
          <w:sz w:val="20"/>
          <w:szCs w:val="20"/>
        </w:rPr>
        <w:t>.</w:t>
      </w:r>
    </w:p>
    <w:p w:rsidR="00000000" w:rsidRDefault="006D723D">
      <w:pPr>
        <w:jc w:val="both"/>
        <w:divId w:val="677578897"/>
        <w:rPr>
          <w:rFonts w:eastAsia="Times New Roman"/>
        </w:rPr>
      </w:pPr>
      <w:r>
        <w:rPr>
          <w:rFonts w:eastAsia="Times New Roman"/>
          <w:sz w:val="20"/>
          <w:szCs w:val="20"/>
        </w:rPr>
        <w:t>•</w:t>
      </w:r>
    </w:p>
    <w:p w:rsidR="00000000" w:rsidRDefault="006D723D">
      <w:pPr>
        <w:jc w:val="both"/>
        <w:divId w:val="2136486937"/>
        <w:rPr>
          <w:rFonts w:eastAsia="Times New Roman"/>
        </w:rPr>
      </w:pPr>
      <w:r>
        <w:rPr>
          <w:rFonts w:eastAsia="Times New Roman"/>
          <w:sz w:val="20"/>
          <w:szCs w:val="20"/>
        </w:rPr>
        <w:t>Despite current indebtedness levels, we may still incur more debt</w:t>
      </w:r>
      <w:r>
        <w:rPr>
          <w:rFonts w:eastAsia="Times New Roman"/>
          <w:sz w:val="20"/>
          <w:szCs w:val="20"/>
        </w:rPr>
        <w:t>.</w:t>
      </w:r>
    </w:p>
    <w:p w:rsidR="00000000" w:rsidRDefault="006D723D">
      <w:pPr>
        <w:jc w:val="both"/>
        <w:divId w:val="1369833963"/>
        <w:rPr>
          <w:rFonts w:eastAsia="Times New Roman"/>
        </w:rPr>
      </w:pPr>
      <w:r>
        <w:rPr>
          <w:rFonts w:eastAsia="Times New Roman"/>
          <w:sz w:val="20"/>
          <w:szCs w:val="20"/>
        </w:rPr>
        <w:t>•</w:t>
      </w:r>
    </w:p>
    <w:p w:rsidR="00000000" w:rsidRDefault="006D723D">
      <w:pPr>
        <w:jc w:val="both"/>
        <w:divId w:val="732583147"/>
        <w:rPr>
          <w:rFonts w:eastAsia="Times New Roman"/>
        </w:rPr>
      </w:pPr>
      <w:r>
        <w:rPr>
          <w:rFonts w:eastAsia="Times New Roman"/>
          <w:sz w:val="20"/>
          <w:szCs w:val="20"/>
        </w:rPr>
        <w:t>Our access to capital may be affected by general macroeconomic conditions</w:t>
      </w:r>
      <w:r>
        <w:rPr>
          <w:rFonts w:eastAsia="Times New Roman"/>
          <w:sz w:val="20"/>
          <w:szCs w:val="20"/>
        </w:rPr>
        <w:t>.</w:t>
      </w:r>
    </w:p>
    <w:p w:rsidR="00000000" w:rsidRDefault="006D723D">
      <w:pPr>
        <w:jc w:val="both"/>
        <w:divId w:val="1117288814"/>
        <w:rPr>
          <w:rFonts w:eastAsia="Times New Roman"/>
        </w:rPr>
      </w:pPr>
      <w:r>
        <w:rPr>
          <w:rFonts w:eastAsia="Times New Roman"/>
          <w:sz w:val="20"/>
          <w:szCs w:val="20"/>
        </w:rPr>
        <w:t>•</w:t>
      </w:r>
    </w:p>
    <w:p w:rsidR="00000000" w:rsidRDefault="006D723D">
      <w:pPr>
        <w:jc w:val="both"/>
        <w:divId w:val="235165457"/>
        <w:rPr>
          <w:rFonts w:eastAsia="Times New Roman"/>
        </w:rPr>
      </w:pPr>
      <w:r>
        <w:rPr>
          <w:rFonts w:eastAsia="Times New Roman"/>
          <w:sz w:val="20"/>
          <w:szCs w:val="20"/>
        </w:rPr>
        <w:t>Increasing activist resistance to the use of public-private partnerships for correctional, detention, and resi</w:t>
      </w:r>
      <w:r>
        <w:rPr>
          <w:rFonts w:eastAsia="Times New Roman"/>
          <w:sz w:val="20"/>
          <w:szCs w:val="20"/>
        </w:rPr>
        <w:t>dential reentry facilities could impact our ability to obtain financing to grow our business or to refinance existing indebtedness, which could have a material adverse effect on our business, financial condition and results of operations</w:t>
      </w:r>
      <w:r>
        <w:rPr>
          <w:rFonts w:eastAsia="Times New Roman"/>
          <w:sz w:val="20"/>
          <w:szCs w:val="20"/>
        </w:rPr>
        <w:t>.</w:t>
      </w:r>
    </w:p>
    <w:p w:rsidR="00000000" w:rsidRDefault="006D723D">
      <w:pPr>
        <w:jc w:val="both"/>
        <w:divId w:val="487940916"/>
        <w:rPr>
          <w:rFonts w:eastAsia="Times New Roman"/>
        </w:rPr>
      </w:pPr>
      <w:r>
        <w:rPr>
          <w:rFonts w:eastAsia="Times New Roman"/>
          <w:sz w:val="20"/>
          <w:szCs w:val="20"/>
        </w:rPr>
        <w:t>•</w:t>
      </w:r>
    </w:p>
    <w:p w:rsidR="00000000" w:rsidRDefault="006D723D">
      <w:pPr>
        <w:jc w:val="both"/>
        <w:divId w:val="640617550"/>
        <w:rPr>
          <w:rFonts w:eastAsia="Times New Roman"/>
        </w:rPr>
      </w:pPr>
      <w:r>
        <w:rPr>
          <w:rFonts w:eastAsia="Times New Roman"/>
          <w:sz w:val="20"/>
          <w:szCs w:val="20"/>
        </w:rPr>
        <w:t>Rising interest</w:t>
      </w:r>
      <w:r>
        <w:rPr>
          <w:rFonts w:eastAsia="Times New Roman"/>
          <w:sz w:val="20"/>
          <w:szCs w:val="20"/>
        </w:rPr>
        <w:t xml:space="preserve"> rates increase the cost of our variable rate debt.</w:t>
      </w:r>
      <w:r>
        <w:rPr>
          <w:rFonts w:eastAsia="Times New Roman"/>
          <w:sz w:val="20"/>
          <w:szCs w:val="20"/>
        </w:rPr>
        <w:t xml:space="preserve"> </w:t>
      </w:r>
    </w:p>
    <w:p w:rsidR="00000000" w:rsidRDefault="006D723D">
      <w:pPr>
        <w:jc w:val="both"/>
        <w:divId w:val="1467115320"/>
        <w:rPr>
          <w:rFonts w:eastAsia="Times New Roman"/>
        </w:rPr>
      </w:pPr>
      <w:r>
        <w:rPr>
          <w:rFonts w:eastAsia="Times New Roman"/>
          <w:sz w:val="20"/>
          <w:szCs w:val="20"/>
        </w:rPr>
        <w:t>•</w:t>
      </w:r>
    </w:p>
    <w:p w:rsidR="00000000" w:rsidRDefault="006D723D">
      <w:pPr>
        <w:jc w:val="both"/>
        <w:divId w:val="2051614218"/>
        <w:rPr>
          <w:rFonts w:eastAsia="Times New Roman"/>
        </w:rPr>
      </w:pPr>
      <w:r>
        <w:rPr>
          <w:rFonts w:eastAsia="Times New Roman"/>
          <w:sz w:val="20"/>
          <w:szCs w:val="20"/>
        </w:rPr>
        <w:t>We may fail to realize the anticipated benefits of revoking our REIT election and becoming a taxable C Corporation effective January 1, 2021, or those benefits may take longer to realize than expected,</w:t>
      </w:r>
      <w:r>
        <w:rPr>
          <w:rFonts w:eastAsia="Times New Roman"/>
          <w:sz w:val="20"/>
          <w:szCs w:val="20"/>
        </w:rPr>
        <w:t xml:space="preserve"> if at all, or may not offset the costs of revoking our REIT election and becoming a taxable C Corporation</w:t>
      </w:r>
      <w:r>
        <w:rPr>
          <w:rFonts w:eastAsia="Times New Roman"/>
          <w:sz w:val="20"/>
          <w:szCs w:val="20"/>
        </w:rPr>
        <w:t>.</w:t>
      </w:r>
    </w:p>
    <w:p w:rsidR="00000000" w:rsidRDefault="006D723D">
      <w:pPr>
        <w:jc w:val="both"/>
        <w:divId w:val="1221360667"/>
        <w:rPr>
          <w:rFonts w:eastAsia="Times New Roman"/>
        </w:rPr>
      </w:pPr>
      <w:r>
        <w:rPr>
          <w:rFonts w:eastAsia="Times New Roman"/>
          <w:sz w:val="20"/>
          <w:szCs w:val="20"/>
        </w:rPr>
        <w:t>•</w:t>
      </w:r>
    </w:p>
    <w:p w:rsidR="00000000" w:rsidRDefault="006D723D">
      <w:pPr>
        <w:jc w:val="both"/>
        <w:divId w:val="76096723"/>
        <w:rPr>
          <w:rFonts w:eastAsia="Times New Roman"/>
        </w:rPr>
      </w:pPr>
      <w:r>
        <w:rPr>
          <w:rFonts w:eastAsia="Times New Roman"/>
          <w:sz w:val="20"/>
          <w:szCs w:val="20"/>
        </w:rPr>
        <w:t xml:space="preserve">If we failed to remain qualified as a REIT for those years we elected REIT status, we would be subject to corporate income taxes and would not be </w:t>
      </w:r>
      <w:r>
        <w:rPr>
          <w:rFonts w:eastAsia="Times New Roman"/>
          <w:sz w:val="20"/>
          <w:szCs w:val="20"/>
        </w:rPr>
        <w:t>able to deduct distributions to stockholders when computing our taxable income for those years</w:t>
      </w:r>
      <w:r>
        <w:rPr>
          <w:rFonts w:eastAsia="Times New Roman"/>
          <w:sz w:val="20"/>
          <w:szCs w:val="20"/>
        </w:rPr>
        <w:t>.</w:t>
      </w:r>
    </w:p>
    <w:p w:rsidR="00000000" w:rsidRDefault="006D723D">
      <w:pPr>
        <w:jc w:val="both"/>
        <w:divId w:val="1225681762"/>
        <w:rPr>
          <w:rFonts w:eastAsia="Times New Roman"/>
        </w:rPr>
      </w:pPr>
      <w:r>
        <w:rPr>
          <w:rFonts w:eastAsia="Times New Roman"/>
          <w:sz w:val="20"/>
          <w:szCs w:val="20"/>
        </w:rPr>
        <w:t>•</w:t>
      </w:r>
    </w:p>
    <w:p w:rsidR="00000000" w:rsidRDefault="006D723D">
      <w:pPr>
        <w:jc w:val="both"/>
        <w:divId w:val="1310668405"/>
        <w:rPr>
          <w:rFonts w:eastAsia="Times New Roman"/>
        </w:rPr>
      </w:pPr>
      <w:r>
        <w:rPr>
          <w:rFonts w:eastAsia="Times New Roman"/>
          <w:sz w:val="20"/>
          <w:szCs w:val="20"/>
        </w:rPr>
        <w:t>Even if we remained qualified as a REIT for those years we elected REIT status, we may owe taxes under certain circumstances.</w:t>
      </w:r>
      <w:r>
        <w:rPr>
          <w:rFonts w:eastAsia="Times New Roman"/>
          <w:sz w:val="20"/>
          <w:szCs w:val="20"/>
        </w:rPr>
        <w:t xml:space="preserve"> </w:t>
      </w:r>
    </w:p>
    <w:p w:rsidR="00000000" w:rsidRDefault="006D723D">
      <w:pPr>
        <w:jc w:val="both"/>
        <w:divId w:val="498235568"/>
        <w:rPr>
          <w:rFonts w:eastAsia="Times New Roman"/>
        </w:rPr>
      </w:pPr>
      <w:r>
        <w:rPr>
          <w:rFonts w:eastAsia="Times New Roman"/>
          <w:sz w:val="20"/>
          <w:szCs w:val="20"/>
        </w:rPr>
        <w:t>•</w:t>
      </w:r>
    </w:p>
    <w:p w:rsidR="00000000" w:rsidRDefault="006D723D">
      <w:pPr>
        <w:jc w:val="both"/>
        <w:divId w:val="902327121"/>
        <w:rPr>
          <w:rFonts w:eastAsia="Times New Roman"/>
        </w:rPr>
      </w:pPr>
      <w:r>
        <w:rPr>
          <w:rFonts w:eastAsia="Times New Roman"/>
          <w:sz w:val="20"/>
          <w:szCs w:val="20"/>
        </w:rPr>
        <w:t>The market price of our equit</w:t>
      </w:r>
      <w:r>
        <w:rPr>
          <w:rFonts w:eastAsia="Times New Roman"/>
          <w:sz w:val="20"/>
          <w:szCs w:val="20"/>
        </w:rPr>
        <w:t>y securities may vary substantially, which may limit our stockholders' ability to liquidate their investment</w:t>
      </w:r>
      <w:r>
        <w:rPr>
          <w:rFonts w:eastAsia="Times New Roman"/>
          <w:sz w:val="20"/>
          <w:szCs w:val="20"/>
        </w:rPr>
        <w:t>.</w:t>
      </w:r>
    </w:p>
    <w:p w:rsidR="00000000" w:rsidRDefault="006D723D">
      <w:pPr>
        <w:jc w:val="both"/>
        <w:divId w:val="1156846044"/>
        <w:rPr>
          <w:rFonts w:eastAsia="Times New Roman"/>
        </w:rPr>
      </w:pPr>
      <w:r>
        <w:rPr>
          <w:rFonts w:eastAsia="Times New Roman"/>
          <w:sz w:val="20"/>
          <w:szCs w:val="20"/>
        </w:rPr>
        <w:t>•</w:t>
      </w:r>
    </w:p>
    <w:p w:rsidR="00000000" w:rsidRDefault="006D723D">
      <w:pPr>
        <w:jc w:val="both"/>
        <w:divId w:val="501511605"/>
        <w:rPr>
          <w:rFonts w:eastAsia="Times New Roman"/>
        </w:rPr>
      </w:pPr>
      <w:r>
        <w:rPr>
          <w:rFonts w:eastAsia="Times New Roman"/>
          <w:sz w:val="20"/>
          <w:szCs w:val="20"/>
        </w:rPr>
        <w:t>The number of shares of our common stock available for future sale could adversely affect the market price of our common stock</w:t>
      </w:r>
      <w:r>
        <w:rPr>
          <w:rFonts w:eastAsia="Times New Roman"/>
          <w:sz w:val="20"/>
          <w:szCs w:val="20"/>
        </w:rPr>
        <w:t>.</w:t>
      </w:r>
    </w:p>
    <w:p w:rsidR="00000000" w:rsidRDefault="006D723D">
      <w:pPr>
        <w:jc w:val="both"/>
        <w:divId w:val="1550338300"/>
        <w:rPr>
          <w:rFonts w:eastAsia="Times New Roman"/>
        </w:rPr>
      </w:pPr>
      <w:r>
        <w:rPr>
          <w:rFonts w:eastAsia="Times New Roman"/>
          <w:sz w:val="20"/>
          <w:szCs w:val="20"/>
        </w:rPr>
        <w:t>•</w:t>
      </w:r>
    </w:p>
    <w:p w:rsidR="00000000" w:rsidRDefault="006D723D">
      <w:pPr>
        <w:jc w:val="both"/>
        <w:divId w:val="558637918"/>
        <w:rPr>
          <w:rFonts w:eastAsia="Times New Roman"/>
        </w:rPr>
      </w:pPr>
      <w:r>
        <w:rPr>
          <w:rFonts w:eastAsia="Times New Roman"/>
          <w:sz w:val="20"/>
          <w:szCs w:val="20"/>
        </w:rPr>
        <w:t>Future offerin</w:t>
      </w:r>
      <w:r>
        <w:rPr>
          <w:rFonts w:eastAsia="Times New Roman"/>
          <w:sz w:val="20"/>
          <w:szCs w:val="20"/>
        </w:rPr>
        <w:t>gs of debt or equity securities ranking senior to our common stock or incurrence of debt (including under our New Bank Credit Facility) may adversely affect the market price of our common stock</w:t>
      </w:r>
      <w:r>
        <w:rPr>
          <w:rFonts w:eastAsia="Times New Roman"/>
          <w:sz w:val="20"/>
          <w:szCs w:val="20"/>
        </w:rPr>
        <w:t>.</w:t>
      </w:r>
    </w:p>
    <w:p w:rsidR="00000000" w:rsidRDefault="006D723D">
      <w:pPr>
        <w:jc w:val="both"/>
        <w:divId w:val="2007203196"/>
        <w:rPr>
          <w:rFonts w:eastAsia="Times New Roman"/>
        </w:rPr>
      </w:pPr>
      <w:r>
        <w:rPr>
          <w:rFonts w:eastAsia="Times New Roman"/>
          <w:sz w:val="20"/>
          <w:szCs w:val="20"/>
        </w:rPr>
        <w:t>•</w:t>
      </w:r>
    </w:p>
    <w:p w:rsidR="00000000" w:rsidRDefault="006D723D">
      <w:pPr>
        <w:jc w:val="both"/>
        <w:divId w:val="2117363709"/>
        <w:rPr>
          <w:rFonts w:eastAsia="Times New Roman"/>
        </w:rPr>
      </w:pPr>
      <w:r>
        <w:rPr>
          <w:rFonts w:eastAsia="Times New Roman"/>
          <w:sz w:val="20"/>
          <w:szCs w:val="20"/>
        </w:rPr>
        <w:t>Our issuance of preferred stock could adversely affect hold</w:t>
      </w:r>
      <w:r>
        <w:rPr>
          <w:rFonts w:eastAsia="Times New Roman"/>
          <w:sz w:val="20"/>
          <w:szCs w:val="20"/>
        </w:rPr>
        <w:t>ers of our common stock and discourage a takeover.</w:t>
      </w:r>
      <w:r>
        <w:rPr>
          <w:rFonts w:eastAsia="Times New Roman"/>
          <w:sz w:val="20"/>
          <w:szCs w:val="20"/>
        </w:rPr>
        <w:t xml:space="preserve"> </w:t>
      </w:r>
    </w:p>
    <w:p w:rsidR="00000000" w:rsidRDefault="006D723D">
      <w:pPr>
        <w:jc w:val="both"/>
        <w:divId w:val="30305239"/>
        <w:rPr>
          <w:rFonts w:eastAsia="Times New Roman"/>
        </w:rPr>
      </w:pPr>
      <w:r>
        <w:rPr>
          <w:rFonts w:eastAsia="Times New Roman"/>
          <w:sz w:val="20"/>
          <w:szCs w:val="20"/>
        </w:rPr>
        <w:t>•</w:t>
      </w:r>
    </w:p>
    <w:p w:rsidR="00000000" w:rsidRDefault="006D723D">
      <w:pPr>
        <w:jc w:val="both"/>
        <w:divId w:val="525826507"/>
        <w:rPr>
          <w:rFonts w:eastAsia="Times New Roman"/>
        </w:rPr>
      </w:pPr>
      <w:r>
        <w:rPr>
          <w:rFonts w:eastAsia="Times New Roman"/>
          <w:sz w:val="20"/>
          <w:szCs w:val="20"/>
        </w:rPr>
        <w:t>Our charter and bylaws and Maryland law could make it difficult for a third party to acquire our company.</w:t>
      </w:r>
      <w:r>
        <w:rPr>
          <w:rFonts w:eastAsia="Times New Roman"/>
          <w:sz w:val="20"/>
          <w:szCs w:val="20"/>
        </w:rPr>
        <w:t xml:space="preserve"> </w: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00" w:beforeAutospacing="0" w:after="0" w:afterAutospacing="0"/>
        <w:jc w:val="center"/>
        <w:rPr>
          <w:sz w:val="20"/>
          <w:szCs w:val="20"/>
        </w:rPr>
      </w:pPr>
      <w:r>
        <w:rPr>
          <w:sz w:val="20"/>
          <w:szCs w:val="20"/>
        </w:rPr>
        <w:t>6</w:t>
      </w:r>
    </w:p>
    <w:p w:rsidR="00000000" w:rsidRDefault="006D723D">
      <w:pPr>
        <w:rPr>
          <w:rFonts w:eastAsia="Times New Roman"/>
        </w:rPr>
      </w:pPr>
      <w:r>
        <w:rPr>
          <w:rFonts w:eastAsia="Times New Roman"/>
        </w:rPr>
        <w:pict>
          <v:rect id="_x0000_i1030"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jc w:val="center"/>
        <w:rPr>
          <w:sz w:val="20"/>
          <w:szCs w:val="20"/>
        </w:rPr>
      </w:pPr>
      <w:r>
        <w:rPr>
          <w:b/>
          <w:bCs/>
          <w:sz w:val="20"/>
          <w:szCs w:val="20"/>
        </w:rPr>
        <w:t>PAR</w:t>
      </w:r>
      <w:r>
        <w:rPr>
          <w:b/>
          <w:bCs/>
          <w:sz w:val="20"/>
          <w:szCs w:val="20"/>
        </w:rPr>
        <w:t>T</w:t>
      </w:r>
      <w:r>
        <w:rPr>
          <w:b/>
          <w:bCs/>
          <w:sz w:val="20"/>
          <w:szCs w:val="20"/>
        </w:rPr>
        <w:t xml:space="preserve"> I</w:t>
      </w:r>
      <w:r>
        <w:rPr>
          <w:b/>
          <w:bCs/>
          <w:sz w:val="20"/>
          <w:szCs w:val="20"/>
        </w:rPr>
        <w:t>.</w:t>
      </w:r>
    </w:p>
    <w:p w:rsidR="00000000" w:rsidRDefault="006D723D">
      <w:pPr>
        <w:pStyle w:val="a3"/>
        <w:spacing w:before="240" w:beforeAutospacing="0" w:after="0" w:afterAutospacing="0"/>
        <w:ind w:hanging="1220"/>
        <w:jc w:val="both"/>
        <w:rPr>
          <w:sz w:val="20"/>
          <w:szCs w:val="20"/>
        </w:rPr>
      </w:pPr>
      <w:r>
        <w:rPr>
          <w:b/>
          <w:bCs/>
          <w:sz w:val="20"/>
          <w:szCs w:val="20"/>
        </w:rPr>
        <w:t xml:space="preserve">ITEM 1. </w:t>
      </w:r>
      <w:r>
        <w:rPr>
          <w:b/>
          <w:bCs/>
          <w:sz w:val="20"/>
          <w:szCs w:val="20"/>
        </w:rPr>
        <w:t>B</w:t>
      </w:r>
      <w:r>
        <w:rPr>
          <w:b/>
          <w:bCs/>
          <w:sz w:val="20"/>
          <w:szCs w:val="20"/>
        </w:rPr>
        <w:t>U</w:t>
      </w:r>
      <w:r>
        <w:rPr>
          <w:b/>
          <w:bCs/>
          <w:sz w:val="20"/>
          <w:szCs w:val="20"/>
        </w:rPr>
        <w:t>S</w:t>
      </w:r>
      <w:r>
        <w:rPr>
          <w:b/>
          <w:bCs/>
          <w:sz w:val="20"/>
          <w:szCs w:val="20"/>
        </w:rPr>
        <w:t>INESS</w:t>
      </w:r>
      <w:r>
        <w:rPr>
          <w:b/>
          <w:bCs/>
          <w:sz w:val="20"/>
          <w:szCs w:val="20"/>
        </w:rPr>
        <w:t>.</w:t>
      </w:r>
    </w:p>
    <w:p w:rsidR="00000000" w:rsidRDefault="006D723D">
      <w:pPr>
        <w:pStyle w:val="a3"/>
        <w:spacing w:before="120" w:beforeAutospacing="0" w:after="0" w:afterAutospacing="0"/>
        <w:jc w:val="both"/>
        <w:rPr>
          <w:sz w:val="20"/>
          <w:szCs w:val="20"/>
        </w:rPr>
      </w:pPr>
      <w:r>
        <w:rPr>
          <w:b/>
          <w:bCs/>
          <w:sz w:val="20"/>
          <w:szCs w:val="20"/>
        </w:rPr>
        <w:t>Ove</w:t>
      </w:r>
      <w:r>
        <w:rPr>
          <w:b/>
          <w:bCs/>
          <w:sz w:val="20"/>
          <w:szCs w:val="20"/>
        </w:rPr>
        <w:t>r</w:t>
      </w:r>
      <w:r>
        <w:rPr>
          <w:b/>
          <w:bCs/>
          <w:sz w:val="20"/>
          <w:szCs w:val="20"/>
        </w:rPr>
        <w:t>vie</w:t>
      </w:r>
      <w:r>
        <w:rPr>
          <w:b/>
          <w:bCs/>
          <w:sz w:val="20"/>
          <w:szCs w:val="20"/>
        </w:rPr>
        <w:t>w</w:t>
      </w:r>
    </w:p>
    <w:p w:rsidR="00000000" w:rsidRDefault="006D723D">
      <w:pPr>
        <w:pStyle w:val="a3"/>
        <w:spacing w:before="120" w:beforeAutospacing="0" w:after="0" w:afterAutospacing="0"/>
        <w:jc w:val="both"/>
        <w:rPr>
          <w:sz w:val="20"/>
          <w:szCs w:val="20"/>
        </w:rPr>
      </w:pPr>
      <w:r>
        <w:rPr>
          <w:sz w:val="20"/>
          <w:szCs w:val="20"/>
        </w:rPr>
        <w:t>We are a diversified government solutions company with the scale and experience needed to solve tough government challenges in flexible, cost-effective ways. Through three segments, C</w:t>
      </w:r>
      <w:r>
        <w:rPr>
          <w:sz w:val="20"/>
          <w:szCs w:val="20"/>
        </w:rPr>
        <w:t>oreCivic Safety, CoreCivic Community, and CoreCivic Properties, we provide a broad range of solutions to government partners that serve the public good through corrections and detention management, a network of residential reentry centers to help address A</w:t>
      </w:r>
      <w:r>
        <w:rPr>
          <w:sz w:val="20"/>
          <w:szCs w:val="20"/>
        </w:rPr>
        <w:t>merica's recidivism crisis, and government real estate solutions. We have been a flexible and dependable partner for government for 40 years. Our employees are driven by a deep sense of service, high standards of professionalism and a responsibility to hel</w:t>
      </w:r>
      <w:r>
        <w:rPr>
          <w:sz w:val="20"/>
          <w:szCs w:val="20"/>
        </w:rPr>
        <w:t>p government better the public good</w:t>
      </w:r>
      <w:r>
        <w:rPr>
          <w:sz w:val="20"/>
          <w:szCs w:val="20"/>
        </w:rPr>
        <w:t>.</w:t>
      </w:r>
    </w:p>
    <w:p w:rsidR="00000000" w:rsidRDefault="006D723D">
      <w:pPr>
        <w:pStyle w:val="a3"/>
        <w:spacing w:before="240" w:beforeAutospacing="0" w:after="0" w:afterAutospacing="0"/>
        <w:jc w:val="both"/>
        <w:rPr>
          <w:sz w:val="20"/>
          <w:szCs w:val="20"/>
        </w:rPr>
      </w:pPr>
      <w:r>
        <w:rPr>
          <w:sz w:val="20"/>
          <w:szCs w:val="20"/>
        </w:rPr>
        <w:t>We are the nation's largest owner of partnership correctional, detention, and residential reentry facilities and one of the largest prison operators in the United States. As of December 31, 2022, through our CoreCivic S</w:t>
      </w:r>
      <w:r>
        <w:rPr>
          <w:sz w:val="20"/>
          <w:szCs w:val="20"/>
        </w:rPr>
        <w:t>afety segment, we operated 44 correctional and detention facilities, 40 of which we owned, with a total design capacity of approximately 66,000 beds. Through our CoreCivic Community segment, we owned and operated 23 residential reentry centers with a total</w:t>
      </w:r>
      <w:r>
        <w:rPr>
          <w:sz w:val="20"/>
          <w:szCs w:val="20"/>
        </w:rPr>
        <w:t xml:space="preserve"> design capacity of approximately 5,000 beds. In addition, through our CoreCivic Properties segment, we owned 8 properties leased to government agencies, totaling 1.8 million square feet</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In addition to providing fundamental residential services, our corr</w:t>
      </w:r>
      <w:r>
        <w:rPr>
          <w:sz w:val="20"/>
          <w:szCs w:val="20"/>
        </w:rPr>
        <w:t>ectional, detention, and residential reentry facilities offer a variety of rehabilitation and educational programs, including basic education, faith-based services, life skills and employment training, and substance abuse treatment. These services are inte</w:t>
      </w:r>
      <w:r>
        <w:rPr>
          <w:sz w:val="20"/>
          <w:szCs w:val="20"/>
        </w:rPr>
        <w:t>nded to help reduce recidivism and to prepare offenders for their successful reentry into society upon their release. We also provide or make available to offenders certain health care (including medical, dental, and mental health services), food services,</w:t>
      </w:r>
      <w:r>
        <w:rPr>
          <w:sz w:val="20"/>
          <w:szCs w:val="20"/>
        </w:rPr>
        <w:t xml:space="preserve"> and work and recreational programs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We are a Maryland corporation formed in 1983. Our principal executive offices are located at 5501 Virginia Way, Brentwood, Tennessee, 37027, and our telephone number at that location is (615) 263-3000. Our website addr</w:t>
      </w:r>
      <w:r>
        <w:rPr>
          <w:sz w:val="20"/>
          <w:szCs w:val="20"/>
        </w:rPr>
        <w:t>ess is www.corecivic.com. We make our Annual Reports on Form 10-K, Quarterly Reports on Form 10-Q, Current Reports on Form 8-K, definitive proxy statements, and amendments to those reports under the Securities Exchange Act of 1934, as amended, or the Excha</w:t>
      </w:r>
      <w:r>
        <w:rPr>
          <w:sz w:val="20"/>
          <w:szCs w:val="20"/>
        </w:rPr>
        <w:t>nge Act, available on our website, free of charge, as soon as reasonably practicable after these reports are filed with or furnished to the SEC. Information contained on our website is not part of this Annual Report. The SEC maintains a website that contai</w:t>
      </w:r>
      <w:r>
        <w:rPr>
          <w:sz w:val="20"/>
          <w:szCs w:val="20"/>
        </w:rPr>
        <w:t>ns reports, proxy and information statements, and other information regarding issuers that file electronically with the SEC at the following address: www.sec.gov</w:t>
      </w:r>
      <w:r>
        <w:rPr>
          <w:sz w:val="20"/>
          <w:szCs w:val="20"/>
        </w:rPr>
        <w:t>.</w:t>
      </w:r>
    </w:p>
    <w:p w:rsidR="00000000" w:rsidRDefault="006D723D">
      <w:pPr>
        <w:pStyle w:val="a3"/>
        <w:spacing w:before="240" w:beforeAutospacing="0" w:after="0" w:afterAutospacing="0"/>
        <w:jc w:val="both"/>
        <w:rPr>
          <w:sz w:val="20"/>
          <w:szCs w:val="20"/>
        </w:rPr>
      </w:pPr>
      <w:r>
        <w:rPr>
          <w:sz w:val="20"/>
          <w:szCs w:val="20"/>
        </w:rPr>
        <w:t xml:space="preserve">We operated as a REIT from January 1, 2013 through December 31, 2020. As a REIT, we provided </w:t>
      </w:r>
      <w:r>
        <w:rPr>
          <w:sz w:val="20"/>
          <w:szCs w:val="20"/>
        </w:rPr>
        <w:t>services and conducted other business activities through taxable REIT subsidiaries, or TRSs. A TRS is a subsidiary of a REIT that is subject to applicable corporate income tax rates and certain qualification requirements. Our use of TRSs enabled us to comp</w:t>
      </w:r>
      <w:r>
        <w:rPr>
          <w:sz w:val="20"/>
          <w:szCs w:val="20"/>
        </w:rPr>
        <w:t>ly with REIT qualification requirements while providing correctional services at facilities we own and at facilities owned by our government partners and to engage in certain other business operations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As a REIT, we generally were not subject to federal i</w:t>
      </w:r>
      <w:r>
        <w:rPr>
          <w:sz w:val="20"/>
          <w:szCs w:val="20"/>
        </w:rPr>
        <w:t>ncome taxes on our REIT taxable income and gains that we distributed to our stockholders, including the income derived from our real estate and dividends we earned from our TRSs. However, our TRSs were required to pay income taxes on their earnings at regu</w:t>
      </w:r>
      <w:r>
        <w:rPr>
          <w:sz w:val="20"/>
          <w:szCs w:val="20"/>
        </w:rPr>
        <w:t>lar corporate income tax rates. As a REIT, we generally were required to distribute annually to our stockholders at least 90% of our REIT taxable income (determined without regard to the dividends paid deduction and excluding net capital gains). Our REIT t</w:t>
      </w:r>
      <w:r>
        <w:rPr>
          <w:sz w:val="20"/>
          <w:szCs w:val="20"/>
        </w:rPr>
        <w:t>axable income did not typically include income earned by our TRSs except to the extent our TRSs paid dividends to the REIT</w:t>
      </w:r>
      <w:r>
        <w:rPr>
          <w:sz w:val="20"/>
          <w:szCs w:val="20"/>
        </w:rPr>
        <w:t>.</w:t>
      </w:r>
    </w:p>
    <w:p w:rsidR="00000000" w:rsidRDefault="006D723D">
      <w:pPr>
        <w:pStyle w:val="a3"/>
        <w:spacing w:before="240" w:beforeAutospacing="0" w:after="0" w:afterAutospacing="0"/>
        <w:jc w:val="both"/>
        <w:rPr>
          <w:sz w:val="20"/>
          <w:szCs w:val="20"/>
        </w:rPr>
      </w:pPr>
      <w:r>
        <w:rPr>
          <w:sz w:val="20"/>
          <w:szCs w:val="20"/>
        </w:rPr>
        <w:t>On August 5, 2020, we announced that our Board of Directors, or BOD, unanimously approved a plan to revoke our REIT election and bec</w:t>
      </w:r>
      <w:r>
        <w:rPr>
          <w:sz w:val="20"/>
          <w:szCs w:val="20"/>
        </w:rPr>
        <w:t>ome a taxable C Corporation, effective January 1, 2021. The BOD also voted unanimously to discontinue our quarterly dividend and prioritize allocating our free cash flow to reduce debt levels. As a result, we are no longer required to operate under REIT ru</w:t>
      </w:r>
      <w:r>
        <w:rPr>
          <w:sz w:val="20"/>
          <w:szCs w:val="20"/>
        </w:rPr>
        <w:t>les, including the requirement to distribute at least 90% of our taxable income to our stockholders, which provides us with greater flexibility to use our free cash flow. Beginning January 1, 2021, we became subject to federal and state income taxes on our</w:t>
      </w:r>
      <w:r>
        <w:rPr>
          <w:sz w:val="20"/>
          <w:szCs w:val="20"/>
        </w:rPr>
        <w:t xml:space="preserve"> taxable income at applicable tax rates, and are n</w:t>
      </w:r>
      <w:r>
        <w:rPr>
          <w:sz w:val="20"/>
          <w:szCs w:val="20"/>
        </w:rPr>
        <w:t>o</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7</w:t>
      </w:r>
    </w:p>
    <w:p w:rsidR="00000000" w:rsidRDefault="006D723D">
      <w:pPr>
        <w:rPr>
          <w:rFonts w:eastAsia="Times New Roman"/>
        </w:rPr>
      </w:pPr>
      <w:r>
        <w:rPr>
          <w:rFonts w:eastAsia="Times New Roman"/>
        </w:rPr>
        <w:pict>
          <v:rect id="_x0000_i1031"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 xml:space="preserve">longer entitled to a tax deduction for dividends paid. However, we believe this conversion improves our overall credit profile and will lower our overall cost of </w:t>
      </w:r>
      <w:r>
        <w:rPr>
          <w:sz w:val="20"/>
          <w:szCs w:val="20"/>
        </w:rPr>
        <w:t>capital. Following our first priority of reducing debt, we expect to allocate a substantial portion of our free cash flow to returning capital to our shareholders and pursuing alternative growth opportunities. On May 12, 2022, our BOD approved a share repu</w:t>
      </w:r>
      <w:r>
        <w:rPr>
          <w:sz w:val="20"/>
          <w:szCs w:val="20"/>
        </w:rPr>
        <w:t>rchase program to repurchase up to $150.0 million of our common stock. On August 2, 2022, the BOD increased the authorization to repurchase under the share repurchase program by up to an additional $75.0 million of our common stock, which resulted in a tot</w:t>
      </w:r>
      <w:r>
        <w:rPr>
          <w:sz w:val="20"/>
          <w:szCs w:val="20"/>
        </w:rPr>
        <w:t xml:space="preserve">al aggregate authorized amount to repurchase up to $225.0 million of our common stock. For more information about the repurchases made under our share repurchase program, see </w:t>
      </w:r>
      <w:r>
        <w:rPr>
          <w:sz w:val="20"/>
          <w:szCs w:val="20"/>
        </w:rPr>
        <w:t>"</w:t>
      </w:r>
      <w:r>
        <w:rPr>
          <w:i/>
          <w:iCs/>
          <w:sz w:val="20"/>
          <w:szCs w:val="20"/>
        </w:rPr>
        <w:t>Part II, Item 5. Market For Registrant's Common Equity, Related Stockholder Matt</w:t>
      </w:r>
      <w:r>
        <w:rPr>
          <w:i/>
          <w:iCs/>
          <w:sz w:val="20"/>
          <w:szCs w:val="20"/>
        </w:rPr>
        <w:t>ers and Issuer Purchases of Equity Securities – Issuer Purchases of Equity Securitie</w:t>
      </w:r>
      <w:r>
        <w:rPr>
          <w:i/>
          <w:iCs/>
          <w:sz w:val="20"/>
          <w:szCs w:val="20"/>
        </w:rPr>
        <w:t>s</w:t>
      </w:r>
      <w:r>
        <w:rPr>
          <w:sz w:val="20"/>
          <w:szCs w:val="20"/>
        </w:rPr>
        <w:t>." The conversion to a taxable C Corporation also provides us with significantly more liquidity, which enables us to reduce our reliance on the capital markets and enabled</w:t>
      </w:r>
      <w:r>
        <w:rPr>
          <w:sz w:val="20"/>
          <w:szCs w:val="20"/>
        </w:rPr>
        <w:t xml:space="preserve"> us to reduce the size of our Bank Credit Facility, as further described hereinafter. We continued to operate as a REIT for the 2020 tax year, and existing REIT requirements and limitations, including those established by our organizational documents, rema</w:t>
      </w:r>
      <w:r>
        <w:rPr>
          <w:sz w:val="20"/>
          <w:szCs w:val="20"/>
        </w:rPr>
        <w:t>ined in place until January 1, 2021</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Our ongoing operations are organized into three principal business segments</w:t>
      </w:r>
      <w:r>
        <w:rPr>
          <w:sz w:val="20"/>
          <w:szCs w:val="20"/>
        </w:rPr>
        <w:t>:</w:t>
      </w:r>
    </w:p>
    <w:p w:rsidR="00000000" w:rsidRDefault="006D723D">
      <w:pPr>
        <w:jc w:val="both"/>
        <w:divId w:val="955908550"/>
        <w:rPr>
          <w:rFonts w:eastAsia="Times New Roman"/>
        </w:rPr>
      </w:pPr>
      <w:r>
        <w:rPr>
          <w:rFonts w:eastAsia="Times New Roman"/>
          <w:sz w:val="20"/>
          <w:szCs w:val="20"/>
        </w:rPr>
        <w:t>•</w:t>
      </w:r>
    </w:p>
    <w:p w:rsidR="00000000" w:rsidRDefault="006D723D">
      <w:pPr>
        <w:jc w:val="both"/>
        <w:divId w:val="1301568096"/>
        <w:rPr>
          <w:rFonts w:eastAsia="Times New Roman"/>
        </w:rPr>
      </w:pPr>
      <w:r>
        <w:rPr>
          <w:rFonts w:eastAsia="Times New Roman"/>
          <w:sz w:val="20"/>
          <w:szCs w:val="20"/>
        </w:rPr>
        <w:t>CoreCivic Safety segment, consisting of the 44 correctional and detention facilities that are owned, or controlled via a long-term lease, and managed by CoreCivic, as well as those correctional and detention facilities owned by third parties but managed by</w:t>
      </w:r>
      <w:r>
        <w:rPr>
          <w:rFonts w:eastAsia="Times New Roman"/>
          <w:sz w:val="20"/>
          <w:szCs w:val="20"/>
        </w:rPr>
        <w:t xml:space="preserve"> CoreCivic. CoreCivic Safety also includes the operating results of our subsidiary that provides transportation services to governmental agencies, TransCor America, LLC, or TransCor</w:t>
      </w:r>
      <w:r>
        <w:rPr>
          <w:rFonts w:eastAsia="Times New Roman"/>
          <w:sz w:val="20"/>
          <w:szCs w:val="20"/>
        </w:rPr>
        <w:t>.</w:t>
      </w:r>
    </w:p>
    <w:p w:rsidR="00000000" w:rsidRDefault="006D723D">
      <w:pPr>
        <w:jc w:val="both"/>
        <w:divId w:val="24987085"/>
        <w:rPr>
          <w:rFonts w:eastAsia="Times New Roman"/>
        </w:rPr>
      </w:pPr>
      <w:r>
        <w:rPr>
          <w:rFonts w:eastAsia="Times New Roman"/>
          <w:sz w:val="20"/>
          <w:szCs w:val="20"/>
        </w:rPr>
        <w:t>•</w:t>
      </w:r>
    </w:p>
    <w:p w:rsidR="00000000" w:rsidRDefault="006D723D">
      <w:pPr>
        <w:jc w:val="both"/>
        <w:divId w:val="462894607"/>
        <w:rPr>
          <w:rFonts w:eastAsia="Times New Roman"/>
        </w:rPr>
      </w:pPr>
      <w:r>
        <w:rPr>
          <w:rFonts w:eastAsia="Times New Roman"/>
          <w:sz w:val="20"/>
          <w:szCs w:val="20"/>
        </w:rPr>
        <w:t>CoreCivic Community segment, consisting of the 23 residential reentry c</w:t>
      </w:r>
      <w:r>
        <w:rPr>
          <w:rFonts w:eastAsia="Times New Roman"/>
          <w:sz w:val="20"/>
          <w:szCs w:val="20"/>
        </w:rPr>
        <w:t>enters that are owned, or controlled via a long-term lease, and managed by CoreCivic. CoreCivic Community also includes the operating results of our electronic monitoring and case management services</w:t>
      </w:r>
      <w:r>
        <w:rPr>
          <w:rFonts w:eastAsia="Times New Roman"/>
          <w:sz w:val="20"/>
          <w:szCs w:val="20"/>
        </w:rPr>
        <w:t>.</w:t>
      </w:r>
    </w:p>
    <w:p w:rsidR="00000000" w:rsidRDefault="006D723D">
      <w:pPr>
        <w:jc w:val="both"/>
        <w:divId w:val="827405312"/>
        <w:rPr>
          <w:rFonts w:eastAsia="Times New Roman"/>
        </w:rPr>
      </w:pPr>
      <w:r>
        <w:rPr>
          <w:rFonts w:eastAsia="Times New Roman"/>
          <w:sz w:val="20"/>
          <w:szCs w:val="20"/>
        </w:rPr>
        <w:t>•</w:t>
      </w:r>
    </w:p>
    <w:p w:rsidR="00000000" w:rsidRDefault="006D723D">
      <w:pPr>
        <w:jc w:val="both"/>
        <w:divId w:val="1540051585"/>
        <w:rPr>
          <w:rFonts w:eastAsia="Times New Roman"/>
        </w:rPr>
      </w:pPr>
      <w:r>
        <w:rPr>
          <w:rFonts w:eastAsia="Times New Roman"/>
          <w:sz w:val="20"/>
          <w:szCs w:val="20"/>
        </w:rPr>
        <w:t>CoreCivic Properties segment, consisting of the 8 rea</w:t>
      </w:r>
      <w:r>
        <w:rPr>
          <w:rFonts w:eastAsia="Times New Roman"/>
          <w:sz w:val="20"/>
          <w:szCs w:val="20"/>
        </w:rPr>
        <w:t>l estate properties owned by CoreCivic and leased to government agencies</w:t>
      </w:r>
      <w:r>
        <w:rPr>
          <w:rFonts w:eastAsia="Times New Roman"/>
          <w:sz w:val="20"/>
          <w:szCs w:val="20"/>
        </w:rPr>
        <w:t>.</w:t>
      </w:r>
    </w:p>
    <w:p w:rsidR="00000000" w:rsidRDefault="006D723D">
      <w:pPr>
        <w:pStyle w:val="a3"/>
        <w:spacing w:before="240" w:beforeAutospacing="0" w:after="0" w:afterAutospacing="0"/>
        <w:jc w:val="both"/>
        <w:rPr>
          <w:sz w:val="20"/>
          <w:szCs w:val="20"/>
        </w:rPr>
      </w:pPr>
      <w:r>
        <w:rPr>
          <w:sz w:val="20"/>
          <w:szCs w:val="20"/>
        </w:rPr>
        <w:t>For the years ended December 31, 2022, 2021, and 2020, our total segment net operating income, which we define as a facility's revenues (including interest income associated with fin</w:t>
      </w:r>
      <w:r>
        <w:rPr>
          <w:sz w:val="20"/>
          <w:szCs w:val="20"/>
        </w:rPr>
        <w:t>ance leases) less operating expenses, was divided among our three business segments as follows</w:t>
      </w:r>
      <w:r>
        <w:rPr>
          <w:sz w:val="20"/>
          <w:szCs w:val="20"/>
        </w:rPr>
        <w:t>:</w:t>
      </w:r>
    </w:p>
    <w:p w:rsidR="00000000" w:rsidRDefault="006D723D">
      <w:pPr>
        <w:pStyle w:val="a3"/>
        <w:spacing w:before="240" w:beforeAutospacing="0" w:after="0" w:afterAutospacing="0"/>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511"/>
        <w:gridCol w:w="110"/>
        <w:gridCol w:w="110"/>
        <w:gridCol w:w="926"/>
        <w:gridCol w:w="227"/>
        <w:gridCol w:w="110"/>
        <w:gridCol w:w="110"/>
        <w:gridCol w:w="926"/>
        <w:gridCol w:w="227"/>
        <w:gridCol w:w="110"/>
        <w:gridCol w:w="110"/>
        <w:gridCol w:w="926"/>
        <w:gridCol w:w="242"/>
      </w:tblGrid>
      <w:tr w:rsidR="00000000">
        <w:trPr>
          <w:tblCellSpacing w:w="15" w:type="dxa"/>
        </w:trPr>
        <w:tc>
          <w:tcPr>
            <w:tcW w:w="2084" w:type="pct"/>
            <w:vAlign w:val="center"/>
            <w:hideMark/>
          </w:tcPr>
          <w:p w:rsidR="00000000" w:rsidRDefault="006D723D">
            <w:pPr>
              <w:rPr>
                <w:sz w:val="20"/>
                <w:szCs w:val="20"/>
              </w:rPr>
            </w:pPr>
          </w:p>
        </w:tc>
        <w:tc>
          <w:tcPr>
            <w:tcW w:w="47"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82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82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82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6D723D">
            <w:pPr>
              <w:pStyle w:val="a3"/>
              <w:spacing w:before="0" w:beforeAutospacing="0" w:after="0" w:afterAutospacing="0"/>
              <w:jc w:val="center"/>
              <w:rPr>
                <w:sz w:val="16"/>
                <w:szCs w:val="16"/>
              </w:rPr>
            </w:pPr>
            <w:r>
              <w:rPr>
                <w:b/>
                <w:bCs/>
                <w:sz w:val="16"/>
                <w:szCs w:val="16"/>
              </w:rPr>
              <w:t>For the Years Ended December 31</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b/>
                <w:bCs/>
                <w:sz w:val="20"/>
                <w:szCs w:val="20"/>
              </w:rPr>
              <w:t>Segment</w:t>
            </w: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Safet</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84.</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85.</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82.</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Communit</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Propertie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12.</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11.</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14.</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bl>
    <w:p w:rsidR="00000000" w:rsidRDefault="006D723D">
      <w:pPr>
        <w:pStyle w:val="a3"/>
        <w:spacing w:before="240" w:beforeAutospacing="0" w:after="0" w:afterAutospacing="0"/>
        <w:jc w:val="both"/>
        <w:rPr>
          <w:sz w:val="20"/>
          <w:szCs w:val="20"/>
        </w:rPr>
      </w:pPr>
      <w:r>
        <w:rPr>
          <w:sz w:val="20"/>
          <w:szCs w:val="20"/>
        </w:rPr>
        <w:t>Our customers primarily consist of federal, state, and local government agencies. Federal correctional and detention authorities primarily consist of U.S. Immigration and Customs Enforcement, or ICE, the USMS, and the BOP. Payments by federal correctional,</w:t>
      </w:r>
      <w:r>
        <w:rPr>
          <w:sz w:val="20"/>
          <w:szCs w:val="20"/>
        </w:rPr>
        <w:t xml:space="preserve"> detention and residential reentry authorities represented 54%, 56%, and 52% of our total revenue for the years ended December 31, 2022, 2021, and 2020, respectively</w:t>
      </w:r>
      <w:r>
        <w:rPr>
          <w:sz w:val="20"/>
          <w:szCs w:val="20"/>
        </w:rPr>
        <w:t>.</w:t>
      </w:r>
    </w:p>
    <w:p w:rsidR="00000000" w:rsidRDefault="006D723D">
      <w:pPr>
        <w:pStyle w:val="a3"/>
        <w:spacing w:before="240" w:beforeAutospacing="0" w:after="0" w:afterAutospacing="0"/>
        <w:jc w:val="both"/>
        <w:rPr>
          <w:sz w:val="20"/>
          <w:szCs w:val="20"/>
        </w:rPr>
      </w:pPr>
      <w:r>
        <w:rPr>
          <w:sz w:val="20"/>
          <w:szCs w:val="20"/>
        </w:rPr>
        <w:t>Our customer contracts for providing bed capacity and correctional, detention, and reside</w:t>
      </w:r>
      <w:r>
        <w:rPr>
          <w:sz w:val="20"/>
          <w:szCs w:val="20"/>
        </w:rPr>
        <w:t>ntial reentry services in our CoreCivic Safety and CoreCivic Community segments typically have terms of three to five years and contain multiple renewal options. Most of our facility contracts also contain clauses that allow the government agency to termin</w:t>
      </w:r>
      <w:r>
        <w:rPr>
          <w:sz w:val="20"/>
          <w:szCs w:val="20"/>
        </w:rPr>
        <w:t>ate the contract at any time without cause, and our facility contracts are generally subject to annual or bi-annual legislative appropriations of funds. Notwithstanding these termination clauses, the contract renewal rate for properties we owned or control</w:t>
      </w:r>
      <w:r>
        <w:rPr>
          <w:sz w:val="20"/>
          <w:szCs w:val="20"/>
        </w:rPr>
        <w:t>led via long-term lease in these segments was 95% over the five years ended December 31, 2022. The government lease agreements in our CoreCivic Properties segment typically have terms of five to twenty years including renewal options, and generally have mo</w:t>
      </w:r>
      <w:r>
        <w:rPr>
          <w:sz w:val="20"/>
          <w:szCs w:val="20"/>
        </w:rPr>
        <w:t>re restrictive termination clauses</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8</w:t>
      </w:r>
    </w:p>
    <w:p w:rsidR="00000000" w:rsidRDefault="006D723D">
      <w:pPr>
        <w:rPr>
          <w:rFonts w:eastAsia="Times New Roman"/>
        </w:rPr>
      </w:pPr>
      <w:r>
        <w:rPr>
          <w:rFonts w:eastAsia="Times New Roman"/>
        </w:rPr>
        <w:pict>
          <v:rect id="_x0000_i1032"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In our CoreCivic Safety and CoreCivic Community segments, we are compensated for providing bed capacity and correctional, detention, and residential reentry services at a per diem rate based upon actual or minimum guar</w:t>
      </w:r>
      <w:r>
        <w:rPr>
          <w:sz w:val="20"/>
          <w:szCs w:val="20"/>
        </w:rPr>
        <w:t>anteed occupancy levels. Occupancy rates for a particular facility are typically low when first opened or immediately following an expansion. However, beyond the start-up period, which typically ranges from 90 to 180 days, the occupancy rate tends to stabi</w:t>
      </w:r>
      <w:r>
        <w:rPr>
          <w:sz w:val="20"/>
          <w:szCs w:val="20"/>
        </w:rPr>
        <w:t>lize. Our occupancy rates have declined since 2019 due to the effects of COVID-19, as further described hereinafter. The average compensated occupancy of our correctional, detention, and residential reentry facilities, based on rated capacity was as follow</w:t>
      </w:r>
      <w:r>
        <w:rPr>
          <w:sz w:val="20"/>
          <w:szCs w:val="20"/>
        </w:rPr>
        <w:t>s for 2022, 2021, and 2020</w:t>
      </w:r>
      <w:r>
        <w:rPr>
          <w:sz w:val="20"/>
          <w:szCs w:val="20"/>
        </w:rPr>
        <w:t>:</w:t>
      </w:r>
    </w:p>
    <w:p w:rsidR="00000000" w:rsidRDefault="006D723D">
      <w:pPr>
        <w:pStyle w:val="a3"/>
        <w:spacing w:before="0" w:beforeAutospacing="0" w:after="0" w:afterAutospacing="0"/>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376"/>
        <w:gridCol w:w="110"/>
        <w:gridCol w:w="111"/>
        <w:gridCol w:w="644"/>
        <w:gridCol w:w="227"/>
        <w:gridCol w:w="110"/>
        <w:gridCol w:w="111"/>
        <w:gridCol w:w="644"/>
        <w:gridCol w:w="227"/>
        <w:gridCol w:w="110"/>
        <w:gridCol w:w="111"/>
        <w:gridCol w:w="622"/>
        <w:gridCol w:w="242"/>
      </w:tblGrid>
      <w:tr w:rsidR="00000000">
        <w:trPr>
          <w:tblCellSpacing w:w="15" w:type="dxa"/>
        </w:trPr>
        <w:tc>
          <w:tcPr>
            <w:tcW w:w="2778" w:type="pct"/>
            <w:vAlign w:val="center"/>
            <w:hideMark/>
          </w:tcPr>
          <w:p w:rsidR="00000000" w:rsidRDefault="006D723D">
            <w:pPr>
              <w:rPr>
                <w:sz w:val="20"/>
                <w:szCs w:val="20"/>
              </w:rPr>
            </w:pPr>
          </w:p>
        </w:tc>
        <w:tc>
          <w:tcPr>
            <w:tcW w:w="4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97"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97"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7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CoreCivic Safety facilitie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7</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7</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7</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CoreCivic Community facilitie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7</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7</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7</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bl>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40" w:beforeAutospacing="0" w:after="0" w:afterAutospacing="0"/>
        <w:jc w:val="both"/>
        <w:rPr>
          <w:sz w:val="20"/>
          <w:szCs w:val="20"/>
        </w:rPr>
      </w:pPr>
      <w:r>
        <w:rPr>
          <w:sz w:val="20"/>
          <w:szCs w:val="20"/>
        </w:rPr>
        <w:t>The average compensated occupancy of our CoreCivic Safety and CoreCivic Community facilities, excluding idled facilities, was 81%, 80%, and 82% for 2022, 2021, and 2020, respectively</w:t>
      </w:r>
      <w:r>
        <w:rPr>
          <w:sz w:val="20"/>
          <w:szCs w:val="20"/>
        </w:rPr>
        <w:t>.</w:t>
      </w:r>
    </w:p>
    <w:p w:rsidR="00000000" w:rsidRDefault="006D723D">
      <w:pPr>
        <w:pStyle w:val="a3"/>
        <w:spacing w:before="240" w:beforeAutospacing="0" w:after="0" w:afterAutospacing="0"/>
        <w:jc w:val="both"/>
        <w:rPr>
          <w:sz w:val="20"/>
          <w:szCs w:val="20"/>
        </w:rPr>
      </w:pPr>
      <w:r>
        <w:rPr>
          <w:sz w:val="20"/>
          <w:szCs w:val="20"/>
        </w:rPr>
        <w:t>In our CoreCivic Properties segment, we own properties that are leased t</w:t>
      </w:r>
      <w:r>
        <w:rPr>
          <w:sz w:val="20"/>
          <w:szCs w:val="20"/>
        </w:rPr>
        <w:t>o government agencies where our occupancy percentage is based on leased square feet rather than bed capacity. The average occupancy of the 8 properties comprising our CoreCivic Properties segment portfolio as of December 31, 2022 was 100%, 100%, and 99% fo</w:t>
      </w:r>
      <w:r>
        <w:rPr>
          <w:sz w:val="20"/>
          <w:szCs w:val="20"/>
        </w:rPr>
        <w:t>r 2022, 2021, and 2020, respectively</w:t>
      </w:r>
      <w:r>
        <w:rPr>
          <w:sz w:val="20"/>
          <w:szCs w:val="20"/>
        </w:rPr>
        <w:t>.</w:t>
      </w:r>
    </w:p>
    <w:p w:rsidR="00000000" w:rsidRDefault="006D723D">
      <w:pPr>
        <w:pStyle w:val="a3"/>
        <w:spacing w:before="360" w:beforeAutospacing="0" w:after="0" w:afterAutospacing="0"/>
        <w:jc w:val="both"/>
        <w:rPr>
          <w:sz w:val="20"/>
          <w:szCs w:val="20"/>
        </w:rPr>
      </w:pPr>
      <w:r>
        <w:rPr>
          <w:b/>
          <w:bCs/>
          <w:sz w:val="20"/>
          <w:szCs w:val="20"/>
        </w:rPr>
        <w:t xml:space="preserve">Operating Procedures </w:t>
      </w:r>
      <w:r>
        <w:rPr>
          <w:b/>
          <w:bCs/>
          <w:sz w:val="20"/>
          <w:szCs w:val="20"/>
        </w:rPr>
        <w:t>a</w:t>
      </w:r>
      <w:r>
        <w:rPr>
          <w:b/>
          <w:bCs/>
          <w:sz w:val="20"/>
          <w:szCs w:val="20"/>
        </w:rPr>
        <w:t>nd Offender Services for Correctional, Detention, and Residential Reentry Facilitie</w:t>
      </w:r>
      <w:r>
        <w:rPr>
          <w:b/>
          <w:bCs/>
          <w:sz w:val="20"/>
          <w:szCs w:val="20"/>
        </w:rPr>
        <w:t>s</w:t>
      </w:r>
    </w:p>
    <w:p w:rsidR="00000000" w:rsidRDefault="006D723D">
      <w:pPr>
        <w:pStyle w:val="a3"/>
        <w:spacing w:before="120" w:beforeAutospacing="0" w:after="0" w:afterAutospacing="0"/>
        <w:jc w:val="both"/>
        <w:rPr>
          <w:sz w:val="20"/>
          <w:szCs w:val="20"/>
        </w:rPr>
      </w:pPr>
      <w:r>
        <w:rPr>
          <w:sz w:val="20"/>
          <w:szCs w:val="20"/>
        </w:rPr>
        <w:t>Pursuant to the terms of our customer contracts, we are responsible for the overall operations of our facilitie</w:t>
      </w:r>
      <w:r>
        <w:rPr>
          <w:sz w:val="20"/>
          <w:szCs w:val="20"/>
        </w:rPr>
        <w:t>s, including staff recruitment, general administration of the facilities, facility maintenance, security, and supervision of the residents in our care. We are required by our customer contracts to maintain certain levels of insurance coverage for general l</w:t>
      </w:r>
      <w:r>
        <w:rPr>
          <w:sz w:val="20"/>
          <w:szCs w:val="20"/>
        </w:rPr>
        <w:t>iability, workers' compensation, vehicle liability, and property loss or damage. We also are required to indemnify our customers for claims and costs arising out of our operations and, in certain cases, to maintain performance bonds and other collateral re</w:t>
      </w:r>
      <w:r>
        <w:rPr>
          <w:sz w:val="20"/>
          <w:szCs w:val="20"/>
        </w:rPr>
        <w:t>quirements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i/>
          <w:iCs/>
          <w:sz w:val="20"/>
          <w:szCs w:val="20"/>
        </w:rPr>
        <w:t>Reentry programs</w:t>
      </w:r>
      <w:r>
        <w:rPr>
          <w:i/>
          <w:iCs/>
          <w:sz w:val="20"/>
          <w:szCs w:val="20"/>
        </w:rPr>
        <w:t>.</w:t>
      </w:r>
    </w:p>
    <w:p w:rsidR="00000000" w:rsidRDefault="006D723D">
      <w:pPr>
        <w:pStyle w:val="a3"/>
        <w:spacing w:before="120" w:beforeAutospacing="0" w:after="0" w:afterAutospacing="0"/>
        <w:jc w:val="both"/>
        <w:rPr>
          <w:sz w:val="20"/>
          <w:szCs w:val="20"/>
        </w:rPr>
      </w:pPr>
      <w:r>
        <w:rPr>
          <w:sz w:val="20"/>
          <w:szCs w:val="20"/>
        </w:rPr>
        <w:t>We believe a focus on inmate reentry provides great benefits for our communities – more people living healthy and productive lives and contributing to strong families and local economies. We have committed to evolving our mod</w:t>
      </w:r>
      <w:r>
        <w:rPr>
          <w:sz w:val="20"/>
          <w:szCs w:val="20"/>
        </w:rPr>
        <w:t>el with an increased focus on reentry services, and we are working to equip the men and women in our care with the services, support, and resources they need to be successful upon reentry</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Due to COVID-19 and the measures we implemented to protect the hea</w:t>
      </w:r>
      <w:r>
        <w:rPr>
          <w:sz w:val="20"/>
          <w:szCs w:val="20"/>
        </w:rPr>
        <w:t>lth and safety of our staff and the people in our care, we experienced a reduction in the number of individuals who benefited from our reentry and educational programs in 2020 and 2021 when compared to prior years. Our efforts to mitigate the spread of COV</w:t>
      </w:r>
      <w:r>
        <w:rPr>
          <w:sz w:val="20"/>
          <w:szCs w:val="20"/>
        </w:rPr>
        <w:t>ID-19 included restricting the movement and interactions of individuals in and around our facilities, which significantly disrupted our reentry programs. We worked with our government partners to continue to provide programs in a safe manner, including off</w:t>
      </w:r>
      <w:r>
        <w:rPr>
          <w:sz w:val="20"/>
          <w:szCs w:val="20"/>
        </w:rPr>
        <w:t>ering programs where possible through self-study materials, and we expanded the use of tablet technology. We also reduced class sizes to help ensure social distancing and offered special high school equivalency (either GED or HiSet) testing schedules. As a</w:t>
      </w:r>
      <w:r>
        <w:rPr>
          <w:sz w:val="20"/>
          <w:szCs w:val="20"/>
        </w:rPr>
        <w:t xml:space="preserve"> result of reductions in the restrictions imposed in connection with COVID-19 during 2022, we have been able to resume more normal activities in size and scope surrounding our reentry programming</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We provide a wide range of evidence-based reentry programs</w:t>
      </w:r>
      <w:r>
        <w:rPr>
          <w:sz w:val="20"/>
          <w:szCs w:val="20"/>
        </w:rPr>
        <w:t xml:space="preserve"> and activities in our facilities. At most of the facilities we manage, offenders have the opportunity to enhance their basic education from literacy through earning a high school equivalency certificate endorsed by their respective state. In some cases, w</w:t>
      </w:r>
      <w:r>
        <w:rPr>
          <w:sz w:val="20"/>
          <w:szCs w:val="20"/>
        </w:rPr>
        <w:t>e also provide opportunities for postsecondary educational achievements and chances to participate in college degree programs. A number of our facilities that care for non-U.S. citizens offer adult education curricula recognized by several nations to which</w:t>
      </w:r>
      <w:r>
        <w:rPr>
          <w:sz w:val="20"/>
          <w:szCs w:val="20"/>
        </w:rPr>
        <w:t xml:space="preserve"> these offenders may return. We also provide an Adult Education in Spanish program for offenders with that specific language need</w:t>
      </w:r>
      <w:r>
        <w:rPr>
          <w:sz w:val="20"/>
          <w:szCs w:val="20"/>
        </w:rPr>
        <w:t>.</w:t>
      </w:r>
    </w:p>
    <w:p w:rsidR="00000000" w:rsidRDefault="006D723D">
      <w:pPr>
        <w:pStyle w:val="a3"/>
        <w:spacing w:before="240" w:beforeAutospacing="0" w:after="0" w:afterAutospacing="0"/>
        <w:jc w:val="center"/>
        <w:rPr>
          <w:sz w:val="20"/>
          <w:szCs w:val="20"/>
        </w:rPr>
      </w:pPr>
      <w:r>
        <w:rPr>
          <w:sz w:val="20"/>
          <w:szCs w:val="20"/>
        </w:rPr>
        <w:t>9</w:t>
      </w:r>
    </w:p>
    <w:p w:rsidR="00000000" w:rsidRDefault="006D723D">
      <w:pPr>
        <w:rPr>
          <w:rFonts w:eastAsia="Times New Roman"/>
        </w:rPr>
      </w:pPr>
      <w:r>
        <w:rPr>
          <w:rFonts w:eastAsia="Times New Roman"/>
        </w:rPr>
        <w:pict>
          <v:rect id="_x0000_i1033"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For the offenders who are close to taking their GED/HiSET exam, we have invested in the equipment needed to use the GED/HiSET Academy software program, which is an offline software program providing over 200 hours of individualized lessons up to a 1</w:t>
      </w:r>
      <w:r>
        <w:rPr>
          <w:sz w:val="20"/>
          <w:szCs w:val="20"/>
        </w:rPr>
        <w:t>2</w:t>
      </w:r>
      <w:r>
        <w:rPr>
          <w:sz w:val="13"/>
          <w:szCs w:val="13"/>
          <w:vertAlign w:val="superscript"/>
        </w:rPr>
        <w:t>t</w:t>
      </w:r>
      <w:r>
        <w:rPr>
          <w:sz w:val="13"/>
          <w:szCs w:val="13"/>
          <w:vertAlign w:val="superscript"/>
        </w:rPr>
        <w:t>h</w:t>
      </w:r>
      <w:r>
        <w:rPr>
          <w:sz w:val="20"/>
          <w:szCs w:val="20"/>
        </w:rPr>
        <w:t xml:space="preserve"> gra</w:t>
      </w:r>
      <w:r>
        <w:rPr>
          <w:sz w:val="20"/>
          <w:szCs w:val="20"/>
        </w:rPr>
        <w:t>de level. The GED/HiSET Academy incorporates teaching best practices and provides an atmosphere to engage and motivate students to learn everything they need to know to pass the GED/HiSET exam. According to a 2018 study published in the Journal of Experime</w:t>
      </w:r>
      <w:r>
        <w:rPr>
          <w:sz w:val="20"/>
          <w:szCs w:val="20"/>
        </w:rPr>
        <w:t>ntal Criminology, inmates participating in correctional education programs were 28% less likely to recidivate when compared with inmates who did not participate in correctional education programs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In addition, we offer a broad spectrum of career/technical</w:t>
      </w:r>
      <w:r>
        <w:rPr>
          <w:sz w:val="20"/>
          <w:szCs w:val="20"/>
        </w:rPr>
        <w:t xml:space="preserve"> education opportunities to help individuals learn marketable job skills. Our trade programs are certified by the National Center for Construction Education and Research, or NCCER. This progressive program has evolved into curricula for more than 70 craft </w:t>
      </w:r>
      <w:r>
        <w:rPr>
          <w:sz w:val="20"/>
          <w:szCs w:val="20"/>
        </w:rPr>
        <w:t>and maintenance areas and a complete series of more than 70 assessments offered in over 6,000 NCCER-accredited training and assessment locations across the United States. Graduates of these programs enter the job market with certified skills that significa</w:t>
      </w:r>
      <w:r>
        <w:rPr>
          <w:sz w:val="20"/>
          <w:szCs w:val="20"/>
        </w:rPr>
        <w:t>ntly enhance employability</w:t>
      </w:r>
      <w:r>
        <w:rPr>
          <w:sz w:val="20"/>
          <w:szCs w:val="20"/>
        </w:rPr>
        <w:t>.</w:t>
      </w:r>
      <w:r>
        <w:rPr>
          <w:sz w:val="20"/>
          <w:szCs w:val="20"/>
        </w:rPr>
        <w:t xml:space="preserve"> </w:t>
      </w:r>
    </w:p>
    <w:p w:rsidR="00000000" w:rsidRDefault="006D723D">
      <w:pPr>
        <w:pStyle w:val="a3"/>
        <w:spacing w:before="120" w:beforeAutospacing="0" w:after="0" w:afterAutospacing="0"/>
        <w:rPr>
          <w:sz w:val="20"/>
          <w:szCs w:val="20"/>
        </w:rPr>
      </w:pPr>
      <w:r>
        <w:rPr>
          <w:sz w:val="20"/>
          <w:szCs w:val="20"/>
        </w:rPr>
        <w:t>We are proud of the educational programs we offer and intend to maintain and continue to develop such programs. Examples of programs we have recently provided include</w:t>
      </w:r>
      <w:r>
        <w:rPr>
          <w:sz w:val="20"/>
          <w:szCs w:val="20"/>
        </w:rPr>
        <w:t>:</w:t>
      </w:r>
    </w:p>
    <w:p w:rsidR="00000000" w:rsidRDefault="006D723D">
      <w:pPr>
        <w:jc w:val="both"/>
        <w:divId w:val="1340351727"/>
        <w:rPr>
          <w:rFonts w:eastAsia="Times New Roman"/>
        </w:rPr>
      </w:pPr>
      <w:r>
        <w:rPr>
          <w:rFonts w:eastAsia="Times New Roman"/>
          <w:sz w:val="20"/>
          <w:szCs w:val="20"/>
        </w:rPr>
        <w:t>•</w:t>
      </w:r>
    </w:p>
    <w:p w:rsidR="00000000" w:rsidRDefault="006D723D">
      <w:pPr>
        <w:jc w:val="both"/>
        <w:divId w:val="1651903691"/>
        <w:rPr>
          <w:rFonts w:eastAsia="Times New Roman"/>
        </w:rPr>
      </w:pPr>
      <w:r>
        <w:rPr>
          <w:rFonts w:eastAsia="Times New Roman"/>
          <w:sz w:val="20"/>
          <w:szCs w:val="20"/>
        </w:rPr>
        <w:t xml:space="preserve">In 2022, we introduced MaxxContent as a pilot program at </w:t>
      </w:r>
      <w:r>
        <w:rPr>
          <w:rFonts w:eastAsia="Times New Roman"/>
          <w:sz w:val="20"/>
          <w:szCs w:val="20"/>
        </w:rPr>
        <w:t>each of our Crossroads Correctional Center in Montana, our Lee Adjustment Center in Kentucky, our Red Rock Correctional Center in Arizona, our Trousdale Turner Correctional Center in Tennessee, and our La Palma Correctional Center in Arizona. MaxxContent i</w:t>
      </w:r>
      <w:r>
        <w:rPr>
          <w:rFonts w:eastAsia="Times New Roman"/>
          <w:sz w:val="20"/>
          <w:szCs w:val="20"/>
        </w:rPr>
        <w:t>s a custom online Learning Management System that includes content such as life skills, mental health, financial literacy, GED preparation, communications, workforce skills, and reentry preparation, and is available to students in our facility education co</w:t>
      </w:r>
      <w:r>
        <w:rPr>
          <w:rFonts w:eastAsia="Times New Roman"/>
          <w:sz w:val="20"/>
          <w:szCs w:val="20"/>
        </w:rPr>
        <w:t>mputer labs</w:t>
      </w:r>
      <w:r>
        <w:rPr>
          <w:rFonts w:eastAsia="Times New Roman"/>
          <w:sz w:val="20"/>
          <w:szCs w:val="20"/>
        </w:rPr>
        <w:t>.</w:t>
      </w:r>
    </w:p>
    <w:p w:rsidR="00000000" w:rsidRDefault="006D723D">
      <w:pPr>
        <w:jc w:val="both"/>
        <w:divId w:val="265356160"/>
        <w:rPr>
          <w:rFonts w:eastAsia="Times New Roman"/>
        </w:rPr>
      </w:pPr>
      <w:r>
        <w:rPr>
          <w:rFonts w:eastAsia="Times New Roman"/>
          <w:sz w:val="20"/>
          <w:szCs w:val="20"/>
        </w:rPr>
        <w:t>•</w:t>
      </w:r>
    </w:p>
    <w:p w:rsidR="00000000" w:rsidRDefault="006D723D">
      <w:pPr>
        <w:jc w:val="both"/>
        <w:divId w:val="1870609452"/>
        <w:rPr>
          <w:rFonts w:eastAsia="Times New Roman"/>
        </w:rPr>
      </w:pPr>
      <w:r>
        <w:rPr>
          <w:rFonts w:eastAsia="Times New Roman"/>
          <w:sz w:val="20"/>
          <w:szCs w:val="20"/>
        </w:rPr>
        <w:t>In 2022, we partnered with Felon Education Project and introduced Felon Education as a pilot program at our Wheeler Correctional Facility in Georgia. Felon Education is a course that teaches inmate students how to start their own businesses.</w:t>
      </w:r>
      <w:r>
        <w:rPr>
          <w:rFonts w:eastAsia="Times New Roman"/>
          <w:sz w:val="20"/>
          <w:szCs w:val="20"/>
        </w:rPr>
        <w:t xml:space="preserve"> The course teaches the students how to write a business plan, obtain funding, set goals, and work through small business finances, regulations and much more</w:t>
      </w:r>
      <w:r>
        <w:rPr>
          <w:rFonts w:eastAsia="Times New Roman"/>
          <w:sz w:val="20"/>
          <w:szCs w:val="20"/>
        </w:rPr>
        <w:t>.</w:t>
      </w:r>
    </w:p>
    <w:p w:rsidR="00000000" w:rsidRDefault="006D723D">
      <w:pPr>
        <w:jc w:val="both"/>
        <w:divId w:val="1863588759"/>
        <w:rPr>
          <w:rFonts w:eastAsia="Times New Roman"/>
        </w:rPr>
      </w:pPr>
      <w:r>
        <w:rPr>
          <w:rFonts w:eastAsia="Times New Roman"/>
          <w:sz w:val="20"/>
          <w:szCs w:val="20"/>
        </w:rPr>
        <w:t>•</w:t>
      </w:r>
    </w:p>
    <w:p w:rsidR="00000000" w:rsidRDefault="006D723D">
      <w:pPr>
        <w:jc w:val="both"/>
        <w:divId w:val="1387337689"/>
        <w:rPr>
          <w:rFonts w:eastAsia="Times New Roman"/>
        </w:rPr>
      </w:pPr>
      <w:r>
        <w:rPr>
          <w:rFonts w:eastAsia="Times New Roman"/>
          <w:sz w:val="20"/>
          <w:szCs w:val="20"/>
        </w:rPr>
        <w:t>In 2021, we partnered with Home Builders Institute, or HBI, in opening a Construction Academy a</w:t>
      </w:r>
      <w:r>
        <w:rPr>
          <w:rFonts w:eastAsia="Times New Roman"/>
          <w:sz w:val="20"/>
          <w:szCs w:val="20"/>
        </w:rPr>
        <w:t>t our Crowley County Correctional Facility in Colorado. HBI is a national nonprofit organization that provides training, curriculum development, and job placement services for the building industry. Carpentry is taught at the Construction Academy at our Cr</w:t>
      </w:r>
      <w:r>
        <w:rPr>
          <w:rFonts w:eastAsia="Times New Roman"/>
          <w:sz w:val="20"/>
          <w:szCs w:val="20"/>
        </w:rPr>
        <w:t>owley facility and students can earn a Pre-Apprenticeship Certificate and receive job placement assistance from HBI staff</w:t>
      </w:r>
      <w:r>
        <w:rPr>
          <w:rFonts w:eastAsia="Times New Roman"/>
          <w:sz w:val="20"/>
          <w:szCs w:val="20"/>
        </w:rPr>
        <w:t>.</w:t>
      </w:r>
    </w:p>
    <w:p w:rsidR="00000000" w:rsidRDefault="006D723D">
      <w:pPr>
        <w:jc w:val="both"/>
        <w:divId w:val="2128574759"/>
        <w:rPr>
          <w:rFonts w:eastAsia="Times New Roman"/>
        </w:rPr>
      </w:pPr>
      <w:r>
        <w:rPr>
          <w:rFonts w:eastAsia="Times New Roman"/>
          <w:sz w:val="20"/>
          <w:szCs w:val="20"/>
        </w:rPr>
        <w:t>•</w:t>
      </w:r>
    </w:p>
    <w:p w:rsidR="00000000" w:rsidRDefault="006D723D">
      <w:pPr>
        <w:jc w:val="both"/>
        <w:divId w:val="2001493826"/>
        <w:rPr>
          <w:rFonts w:eastAsia="Times New Roman"/>
        </w:rPr>
      </w:pPr>
      <w:r>
        <w:rPr>
          <w:rFonts w:eastAsia="Times New Roman"/>
          <w:sz w:val="20"/>
          <w:szCs w:val="20"/>
        </w:rPr>
        <w:t>In 2021, we partnered with Trinity Services Group, a national leader in correctional food service, in opening a Culinary Training P</w:t>
      </w:r>
      <w:r>
        <w:rPr>
          <w:rFonts w:eastAsia="Times New Roman"/>
          <w:sz w:val="20"/>
          <w:szCs w:val="20"/>
        </w:rPr>
        <w:t>rogram at our Lake Erie Correctional Institution in Ohio. Through the 10-month program offered at the Lake Erie facility, students can earn a Certified Fundamental Cook Certificate issued by the American Culinary Federation. The program also teaches studen</w:t>
      </w:r>
      <w:r>
        <w:rPr>
          <w:rFonts w:eastAsia="Times New Roman"/>
          <w:sz w:val="20"/>
          <w:szCs w:val="20"/>
        </w:rPr>
        <w:t>ts restaurant and catering management skills</w:t>
      </w:r>
      <w:r>
        <w:rPr>
          <w:rFonts w:eastAsia="Times New Roman"/>
          <w:sz w:val="20"/>
          <w:szCs w:val="20"/>
        </w:rPr>
        <w:t>.</w:t>
      </w:r>
    </w:p>
    <w:p w:rsidR="00000000" w:rsidRDefault="006D723D">
      <w:pPr>
        <w:jc w:val="both"/>
        <w:divId w:val="1212158761"/>
        <w:rPr>
          <w:rFonts w:eastAsia="Times New Roman"/>
        </w:rPr>
      </w:pPr>
      <w:r>
        <w:rPr>
          <w:rFonts w:eastAsia="Times New Roman"/>
          <w:sz w:val="20"/>
          <w:szCs w:val="20"/>
        </w:rPr>
        <w:t>•</w:t>
      </w:r>
    </w:p>
    <w:p w:rsidR="00000000" w:rsidRDefault="006D723D">
      <w:pPr>
        <w:jc w:val="both"/>
        <w:divId w:val="1869684790"/>
        <w:rPr>
          <w:rFonts w:eastAsia="Times New Roman"/>
        </w:rPr>
      </w:pPr>
      <w:r>
        <w:rPr>
          <w:rFonts w:eastAsia="Times New Roman"/>
          <w:sz w:val="20"/>
          <w:szCs w:val="20"/>
        </w:rPr>
        <w:t xml:space="preserve">In 2020, our Lee Adjustment facility implemented "Interview School," a web-based artificial intelligence software for practicing job interviews. Interview School conducts job-specific interviews and provides </w:t>
      </w:r>
      <w:r>
        <w:rPr>
          <w:rFonts w:eastAsia="Times New Roman"/>
          <w:sz w:val="20"/>
          <w:szCs w:val="20"/>
        </w:rPr>
        <w:t>feedback on tone, confidence, and answer content. In 2022, we implemented "Interview School" at our Trousdale Turner facility and our Tallahatchie County Correctional Facility in Mississippi. We plan to implement "Interview School" at additional facilities</w:t>
      </w:r>
      <w:r>
        <w:rPr>
          <w:rFonts w:eastAsia="Times New Roman"/>
          <w:sz w:val="20"/>
          <w:szCs w:val="20"/>
        </w:rPr>
        <w:t xml:space="preserve"> in 2023</w:t>
      </w:r>
      <w:r>
        <w:rPr>
          <w:rFonts w:eastAsia="Times New Roman"/>
          <w:sz w:val="20"/>
          <w:szCs w:val="20"/>
        </w:rPr>
        <w:t>.</w:t>
      </w:r>
    </w:p>
    <w:p w:rsidR="00000000" w:rsidRDefault="006D723D">
      <w:pPr>
        <w:pStyle w:val="a3"/>
        <w:spacing w:before="240" w:beforeAutospacing="0" w:after="0" w:afterAutospacing="0"/>
        <w:jc w:val="center"/>
        <w:rPr>
          <w:sz w:val="20"/>
          <w:szCs w:val="20"/>
        </w:rPr>
      </w:pPr>
      <w:r>
        <w:rPr>
          <w:sz w:val="20"/>
          <w:szCs w:val="20"/>
        </w:rPr>
        <w:t>1</w:t>
      </w:r>
      <w:r>
        <w:rPr>
          <w:sz w:val="20"/>
          <w:szCs w:val="20"/>
        </w:rPr>
        <w:t>0</w:t>
      </w:r>
    </w:p>
    <w:p w:rsidR="00000000" w:rsidRDefault="006D723D">
      <w:pPr>
        <w:rPr>
          <w:rFonts w:eastAsia="Times New Roman"/>
        </w:rPr>
      </w:pPr>
      <w:r>
        <w:rPr>
          <w:rFonts w:eastAsia="Times New Roman"/>
        </w:rPr>
        <w:pict>
          <v:rect id="_x0000_i1034"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jc w:val="both"/>
        <w:divId w:val="15351966"/>
        <w:rPr>
          <w:rFonts w:eastAsia="Times New Roman"/>
        </w:rPr>
      </w:pPr>
      <w:r>
        <w:rPr>
          <w:rFonts w:eastAsia="Times New Roman"/>
          <w:sz w:val="20"/>
          <w:szCs w:val="20"/>
        </w:rPr>
        <w:t>•</w:t>
      </w:r>
    </w:p>
    <w:p w:rsidR="00000000" w:rsidRDefault="006D723D">
      <w:pPr>
        <w:jc w:val="both"/>
        <w:divId w:val="514536758"/>
        <w:rPr>
          <w:rFonts w:eastAsia="Times New Roman"/>
        </w:rPr>
      </w:pPr>
      <w:r>
        <w:rPr>
          <w:rFonts w:eastAsia="Times New Roman"/>
          <w:sz w:val="20"/>
          <w:szCs w:val="20"/>
        </w:rPr>
        <w:t>In 2019, we partnered with Persevere, a national non-profit organization, to offer offenders at our Trousdale Turner facility an opportunity to learn software coding and job readiness/employability skil</w:t>
      </w:r>
      <w:r>
        <w:rPr>
          <w:rFonts w:eastAsia="Times New Roman"/>
          <w:sz w:val="20"/>
          <w:szCs w:val="20"/>
        </w:rPr>
        <w:t>ls specific to the technology field. The partnership with Persevere was expanded to include our Red Rock Correctional Center in 2020 and our Saguaro Correctional Facility in 2021. Both the Red Rock and Saguaro facilities are in Arizona. The instructor-led,</w:t>
      </w:r>
      <w:r>
        <w:rPr>
          <w:rFonts w:eastAsia="Times New Roman"/>
          <w:sz w:val="20"/>
          <w:szCs w:val="20"/>
        </w:rPr>
        <w:t xml:space="preserve"> self-paced program utilizes both a coding instructor and a Technology Employability Specialist to ensure students are learning the craft and how to obtain and maintain a job in the field, post-incarceration. The program is split into two phases that allow</w:t>
      </w:r>
      <w:r>
        <w:rPr>
          <w:rFonts w:eastAsia="Times New Roman"/>
          <w:sz w:val="20"/>
          <w:szCs w:val="20"/>
        </w:rPr>
        <w:t>s students to become certified Front-end Developers (phase 1) and Full Stack Developers (phase 2) upon completion. In 2022, to further expand our programming in this area, we partnered with Pivot Technology School to pilot Pivot Tech, a technology career p</w:t>
      </w:r>
      <w:r>
        <w:rPr>
          <w:rFonts w:eastAsia="Times New Roman"/>
          <w:sz w:val="20"/>
          <w:szCs w:val="20"/>
        </w:rPr>
        <w:t>rogram, at our Jenkins Correctional Center in Georgia. Pivot Tech is a five-month "boot camp" style course taught in a classroom setting with instructors participating virtually. Students learn computer coding and data analytics and receive certificates th</w:t>
      </w:r>
      <w:r>
        <w:rPr>
          <w:rFonts w:eastAsia="Times New Roman"/>
          <w:sz w:val="20"/>
          <w:szCs w:val="20"/>
        </w:rPr>
        <w:t>at prepare them for career success upon reentry.</w:t>
      </w:r>
      <w:r>
        <w:rPr>
          <w:rFonts w:eastAsia="Times New Roman"/>
          <w:sz w:val="20"/>
          <w:szCs w:val="20"/>
        </w:rPr>
        <w:t xml:space="preserve"> </w:t>
      </w:r>
    </w:p>
    <w:p w:rsidR="00000000" w:rsidRDefault="006D723D">
      <w:pPr>
        <w:jc w:val="both"/>
        <w:divId w:val="1978876563"/>
        <w:rPr>
          <w:rFonts w:eastAsia="Times New Roman"/>
        </w:rPr>
      </w:pPr>
      <w:r>
        <w:rPr>
          <w:rFonts w:eastAsia="Times New Roman"/>
          <w:sz w:val="20"/>
          <w:szCs w:val="20"/>
        </w:rPr>
        <w:t>•</w:t>
      </w:r>
    </w:p>
    <w:p w:rsidR="00000000" w:rsidRDefault="006D723D">
      <w:pPr>
        <w:jc w:val="both"/>
        <w:divId w:val="37363023"/>
        <w:rPr>
          <w:rFonts w:eastAsia="Times New Roman"/>
        </w:rPr>
      </w:pPr>
      <w:r>
        <w:rPr>
          <w:rFonts w:eastAsia="Times New Roman"/>
          <w:sz w:val="20"/>
          <w:szCs w:val="20"/>
        </w:rPr>
        <w:t>In 2019, we increased our post-secondary educational offerings by growing our relationship with Ashland University, based in Ohio, to deliver college-level programming to offenders at our Jenkins, Wheeler</w:t>
      </w:r>
      <w:r>
        <w:rPr>
          <w:rFonts w:eastAsia="Times New Roman"/>
          <w:sz w:val="20"/>
          <w:szCs w:val="20"/>
        </w:rPr>
        <w:t>, and Coffee correctional facilities in Georgia. In 2020, we also began offering the college-level programming at our Northeast Ohio facility in Ohio. This relationship with Ashland University allows enrollees to obtain an Associate's Degree in General Stu</w:t>
      </w:r>
      <w:r>
        <w:rPr>
          <w:rFonts w:eastAsia="Times New Roman"/>
          <w:sz w:val="20"/>
          <w:szCs w:val="20"/>
        </w:rPr>
        <w:t>dies or a Bachelor's Degree in Communication Studies or Interdisciplinary Studies at no cost to them through Pell Grant funding. Students access coursework, tests, and interact with their instructors through a secure Learning Management System via a tablet</w:t>
      </w:r>
      <w:r>
        <w:rPr>
          <w:rFonts w:eastAsia="Times New Roman"/>
          <w:sz w:val="20"/>
          <w:szCs w:val="20"/>
        </w:rPr>
        <w:t xml:space="preserve"> computer</w:t>
      </w:r>
      <w:r>
        <w:rPr>
          <w:rFonts w:eastAsia="Times New Roman"/>
          <w:sz w:val="20"/>
          <w:szCs w:val="20"/>
        </w:rPr>
        <w:t>.</w:t>
      </w:r>
    </w:p>
    <w:p w:rsidR="00000000" w:rsidRDefault="006D723D">
      <w:pPr>
        <w:jc w:val="both"/>
        <w:divId w:val="1223371190"/>
        <w:rPr>
          <w:rFonts w:eastAsia="Times New Roman"/>
        </w:rPr>
      </w:pPr>
      <w:r>
        <w:rPr>
          <w:rFonts w:eastAsia="Times New Roman"/>
          <w:sz w:val="20"/>
          <w:szCs w:val="20"/>
        </w:rPr>
        <w:t>•</w:t>
      </w:r>
    </w:p>
    <w:p w:rsidR="00000000" w:rsidRDefault="006D723D">
      <w:pPr>
        <w:jc w:val="both"/>
        <w:divId w:val="551623083"/>
        <w:rPr>
          <w:rFonts w:eastAsia="Times New Roman"/>
        </w:rPr>
      </w:pPr>
      <w:r>
        <w:rPr>
          <w:rFonts w:eastAsia="Times New Roman"/>
          <w:sz w:val="20"/>
          <w:szCs w:val="20"/>
        </w:rPr>
        <w:t>Since 2018, through a relationship with Fuel Education, a company that specializes in digital learning opportunities, we offer an online Information Support and Services computer program at our Lee Adjustment Center in Kentucky. This program a</w:t>
      </w:r>
      <w:r>
        <w:rPr>
          <w:rFonts w:eastAsia="Times New Roman"/>
          <w:sz w:val="20"/>
          <w:szCs w:val="20"/>
        </w:rPr>
        <w:t>llows students to enhance their computer knowledge and was developed in coordination with the Commonwealth of Kentucky Department of Corrections, or KYDOC, our government partner at the Lee Adjustment facility. Students who successfully complete the approx</w:t>
      </w:r>
      <w:r>
        <w:rPr>
          <w:rFonts w:eastAsia="Times New Roman"/>
          <w:sz w:val="20"/>
          <w:szCs w:val="20"/>
        </w:rPr>
        <w:t>imate 10-month program will be awarded a base National Occupational Competency Testing Institute, or NOCTI, credential with the opportunity to earn an advanced NOCTI credential in the future</w:t>
      </w:r>
      <w:r>
        <w:rPr>
          <w:rFonts w:eastAsia="Times New Roman"/>
          <w:sz w:val="20"/>
          <w:szCs w:val="20"/>
        </w:rPr>
        <w:t>.</w:t>
      </w:r>
    </w:p>
    <w:p w:rsidR="00000000" w:rsidRDefault="006D723D">
      <w:pPr>
        <w:jc w:val="both"/>
        <w:divId w:val="1329672265"/>
        <w:rPr>
          <w:rFonts w:eastAsia="Times New Roman"/>
        </w:rPr>
      </w:pPr>
      <w:r>
        <w:rPr>
          <w:rFonts w:eastAsia="Times New Roman"/>
          <w:sz w:val="20"/>
          <w:szCs w:val="20"/>
        </w:rPr>
        <w:t>•</w:t>
      </w:r>
    </w:p>
    <w:p w:rsidR="00000000" w:rsidRDefault="006D723D">
      <w:pPr>
        <w:jc w:val="both"/>
        <w:divId w:val="1118373140"/>
        <w:rPr>
          <w:rFonts w:eastAsia="Times New Roman"/>
        </w:rPr>
      </w:pPr>
      <w:r>
        <w:rPr>
          <w:rFonts w:eastAsia="Times New Roman"/>
          <w:sz w:val="20"/>
          <w:szCs w:val="20"/>
        </w:rPr>
        <w:t xml:space="preserve">Since 2016, our Coffee and Wheeler facilities in Georgia have </w:t>
      </w:r>
      <w:r>
        <w:rPr>
          <w:rFonts w:eastAsia="Times New Roman"/>
          <w:sz w:val="20"/>
          <w:szCs w:val="20"/>
        </w:rPr>
        <w:t>operated state-of-the-art Diesel Maintenance and Welding programs in coordination with the Georgia Department of Corrections, or GDOC, enabling students to earn trade certificates from nearby community colleges.</w:t>
      </w:r>
      <w:r>
        <w:rPr>
          <w:rFonts w:eastAsia="Times New Roman"/>
          <w:sz w:val="20"/>
          <w:szCs w:val="20"/>
        </w:rPr>
        <w:t xml:space="preserve"> </w:t>
      </w:r>
    </w:p>
    <w:p w:rsidR="00000000" w:rsidRDefault="006D723D">
      <w:pPr>
        <w:pStyle w:val="a3"/>
        <w:spacing w:before="240" w:beforeAutospacing="0" w:after="0" w:afterAutospacing="0"/>
        <w:jc w:val="both"/>
        <w:rPr>
          <w:sz w:val="20"/>
          <w:szCs w:val="20"/>
        </w:rPr>
      </w:pPr>
      <w:r>
        <w:rPr>
          <w:sz w:val="20"/>
          <w:szCs w:val="20"/>
        </w:rPr>
        <w:t>For those with assessed substance abuse disorders, we offer cognitive behavioral evidence-based treatment programs with proven clinical outcomes, such as the Residential Drug Abuse Program. We offer both therapeutic community models and intensive outpatien</w:t>
      </w:r>
      <w:r>
        <w:rPr>
          <w:sz w:val="20"/>
          <w:szCs w:val="20"/>
        </w:rPr>
        <w:t>t programs. We also offer drug and alcohol use education/DWI programs at some of our locations. Our goal in providing substance abuse treatment is to stimulate internal motivation for change and progress through the stages of change so that lasting behavio</w:t>
      </w:r>
      <w:r>
        <w:rPr>
          <w:sz w:val="20"/>
          <w:szCs w:val="20"/>
        </w:rPr>
        <w:t xml:space="preserve">ral change can occur. Our drug and alcohol education programs help participants understand their relationships with drugs and alcohol and the links between drug and alcohol use and crime, as well as equipping participants with information designed to help </w:t>
      </w:r>
      <w:r>
        <w:rPr>
          <w:sz w:val="20"/>
          <w:szCs w:val="20"/>
        </w:rPr>
        <w:t>them make better choices that can lead to healthier relationships in their lives. According to a study by the Florida State University College of Criminology and Criminal Justice, "An Assessment of Substance Abuse Treatment Programs in Florida's Prisons Us</w:t>
      </w:r>
      <w:r>
        <w:rPr>
          <w:sz w:val="20"/>
          <w:szCs w:val="20"/>
        </w:rPr>
        <w:t>ing a Random Assignment Experimental Design" submitted to the National Institute of Justice, Office of Justice Programs, U.S. Department of Justice, in 2016, inmates who completed addiction treatment in prison have significantly lower recidivism levels reg</w:t>
      </w:r>
      <w:r>
        <w:rPr>
          <w:sz w:val="20"/>
          <w:szCs w:val="20"/>
        </w:rPr>
        <w:t>ardless of the treatment model used</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 xml:space="preserve">Additional program offerings include our Victim Impact Programs, available at a number of our Safety and Community facilities, which seek to educate offenders about the negative effects their criminal conduct can have </w:t>
      </w:r>
      <w:r>
        <w:rPr>
          <w:sz w:val="20"/>
          <w:szCs w:val="20"/>
        </w:rPr>
        <w:t xml:space="preserve">on others. All of our facility chaplains facilitate diverse and inclusive opportunities for those in our care to engage in the practice of spirituality and to exercise individual religious freedom. In several facilities, we offer faith-based programs with </w:t>
      </w:r>
      <w:r>
        <w:rPr>
          <w:sz w:val="20"/>
          <w:szCs w:val="20"/>
        </w:rPr>
        <w:t>an emphasis on character development, spiritual growth, and successful reentry. Presently, we utilize Threshold, an innovative, evidence-based inter-faith component of comprehensive reentry services</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1</w:t>
      </w:r>
      <w:r>
        <w:rPr>
          <w:sz w:val="20"/>
          <w:szCs w:val="20"/>
        </w:rPr>
        <w:t>1</w:t>
      </w:r>
    </w:p>
    <w:p w:rsidR="00000000" w:rsidRDefault="006D723D">
      <w:pPr>
        <w:rPr>
          <w:rFonts w:eastAsia="Times New Roman"/>
        </w:rPr>
      </w:pPr>
      <w:r>
        <w:rPr>
          <w:rFonts w:eastAsia="Times New Roman"/>
        </w:rPr>
        <w:pict>
          <v:rect id="_x0000_i1035"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Our Reentry an</w:t>
      </w:r>
      <w:r>
        <w:rPr>
          <w:sz w:val="20"/>
          <w:szCs w:val="20"/>
        </w:rPr>
        <w:t xml:space="preserve">d Life Skills programs prepare individuals for life after incarceration by teaching them how to successfully conduct a job search, how to manage their budget and financial matters, parenting skills, and relationship and family skills. Equally significant, </w:t>
      </w:r>
      <w:r>
        <w:rPr>
          <w:sz w:val="20"/>
          <w:szCs w:val="20"/>
        </w:rPr>
        <w:t>we offer cognitive behavioral programs aimed at changing anti-social attitudes and behaviors in offenders, with a focus on altering the level of criminal thinking. In 2017, we introduced a comprehensive reentry strategy we call "Go Further," a forward thin</w:t>
      </w:r>
      <w:r>
        <w:rPr>
          <w:sz w:val="20"/>
          <w:szCs w:val="20"/>
        </w:rPr>
        <w:t>king, process approach to reentry. "Go Further" encompasses all facility reentry programs, adds a proprietary cognitive/behavioral curriculum, and encourages staff and offenders to take a collaborative approach to assist in reentry preparation</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In 2021, w</w:t>
      </w:r>
      <w:r>
        <w:rPr>
          <w:sz w:val="20"/>
          <w:szCs w:val="20"/>
        </w:rPr>
        <w:t xml:space="preserve">e opened a "Go Further Release" program in the Denver, Colorado area. Go Further Release is a program we developed that provides stabilization services and reentry coaching to individuals being released from our facilities. The program provides "Reach-in" </w:t>
      </w:r>
      <w:r>
        <w:rPr>
          <w:sz w:val="20"/>
          <w:szCs w:val="20"/>
        </w:rPr>
        <w:t>services during the returning citizen's last 90 days of incarceration which are designed to prepare individuals for release and make a connection with a reentry coach that will provide support to them after release. "Stabilization and Reentry Coaching" ser</w:t>
      </w:r>
      <w:r>
        <w:rPr>
          <w:sz w:val="20"/>
          <w:szCs w:val="20"/>
        </w:rPr>
        <w:t>vices are provided during an individual's first 90 days of release and an ongoing community support group is available as long as needed. All services are free of charge. In 2022, we received approval from the GDOC to implement a Go Further Release program</w:t>
      </w:r>
      <w:r>
        <w:rPr>
          <w:sz w:val="20"/>
          <w:szCs w:val="20"/>
        </w:rPr>
        <w:t xml:space="preserve"> to support our Coffee, Jenkins, and Wheeler facilities. We plan to partner with Life Empowerment Enterprises, a local nonprofit organization, to provide this program</w:t>
      </w:r>
      <w:r>
        <w:rPr>
          <w:sz w:val="20"/>
          <w:szCs w:val="20"/>
        </w:rPr>
        <w:t>.</w:t>
      </w:r>
    </w:p>
    <w:p w:rsidR="00000000" w:rsidRDefault="006D723D">
      <w:pPr>
        <w:pStyle w:val="a3"/>
        <w:spacing w:before="240" w:beforeAutospacing="0" w:after="0" w:afterAutospacing="0"/>
        <w:jc w:val="both"/>
        <w:rPr>
          <w:sz w:val="20"/>
          <w:szCs w:val="20"/>
        </w:rPr>
      </w:pPr>
      <w:r>
        <w:rPr>
          <w:sz w:val="20"/>
          <w:szCs w:val="20"/>
        </w:rPr>
        <w:t>Across the country, our dedicated staff, along with the assistance of thousands of volun</w:t>
      </w:r>
      <w:r>
        <w:rPr>
          <w:sz w:val="20"/>
          <w:szCs w:val="20"/>
        </w:rPr>
        <w:t>teers, work to provide guidance, direction, and post-incarceration services to the men and women in our care. We believe these critical reentry programs help fight the serious challenge of recidivism facing the United States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Through our community correct</w:t>
      </w:r>
      <w:r>
        <w:rPr>
          <w:sz w:val="20"/>
          <w:szCs w:val="20"/>
        </w:rPr>
        <w:t>ions facilities, we provide an array of services to defendants and offenders who are serving their full sentence, the last portion of their sentence, waiting to be sentenced, or awaiting trial while supervised in a community environment. We offer housing a</w:t>
      </w:r>
      <w:r>
        <w:rPr>
          <w:sz w:val="20"/>
          <w:szCs w:val="20"/>
        </w:rPr>
        <w:t>nd programs with a key focus on employment, job readiness, life skills and various substance abuse treatment programs, in order to help offenders successfully reenter their communities and reduce the risk of recidivism. For example, some of our community c</w:t>
      </w:r>
      <w:r>
        <w:rPr>
          <w:sz w:val="20"/>
          <w:szCs w:val="20"/>
        </w:rPr>
        <w:t>orrections facilities have community networking programs, like those at our Cheyenne Transitional Center in Wyoming, to</w:t>
      </w:r>
      <w:r>
        <w:rPr>
          <w:sz w:val="20"/>
          <w:szCs w:val="20"/>
        </w:rPr>
        <w:t xml:space="preserve"> </w:t>
      </w:r>
      <w:r>
        <w:rPr>
          <w:sz w:val="20"/>
          <w:szCs w:val="20"/>
        </w:rPr>
        <w:t>help residents connect with community members and match them with jobs. Our staff takes an active role in going into the community and c</w:t>
      </w:r>
      <w:r>
        <w:rPr>
          <w:sz w:val="20"/>
          <w:szCs w:val="20"/>
        </w:rPr>
        <w:t>reating collaborative relationships with employers to assist residents when they first arrive at our facility and provide support for a smoother transition in job seeking. In 2022, our programs in the state of Colorado partnered with a financial institutio</w:t>
      </w:r>
      <w:r>
        <w:rPr>
          <w:sz w:val="20"/>
          <w:szCs w:val="20"/>
        </w:rPr>
        <w:t>n to conduct classes with our residents on financial wellness, including the importance of having a savings account, the importance of, and how to establish, credit, and how to establish a bank account.</w:t>
      </w:r>
      <w:r>
        <w:rPr>
          <w:sz w:val="20"/>
          <w:szCs w:val="20"/>
        </w:rPr>
        <w:t xml:space="preserve"> </w:t>
      </w:r>
      <w:r>
        <w:rPr>
          <w:sz w:val="20"/>
          <w:szCs w:val="20"/>
        </w:rPr>
        <w:t>In some of our community corrections facilities, we o</w:t>
      </w:r>
      <w:r>
        <w:rPr>
          <w:sz w:val="20"/>
          <w:szCs w:val="20"/>
        </w:rPr>
        <w:t>ffer housing and program services to parolees who have completed their sentence but lack a viable reentry plan. Through a focus on employment and skill development, we provide a means for these parolees to successfully reintegrate into their communities</w:t>
      </w:r>
      <w:r>
        <w:rPr>
          <w:sz w:val="20"/>
          <w:szCs w:val="20"/>
        </w:rPr>
        <w:t>.</w:t>
      </w:r>
    </w:p>
    <w:p w:rsidR="00000000" w:rsidRDefault="006D723D">
      <w:pPr>
        <w:pStyle w:val="a3"/>
        <w:spacing w:before="240" w:beforeAutospacing="0" w:after="0" w:afterAutospacing="0"/>
        <w:jc w:val="both"/>
        <w:rPr>
          <w:sz w:val="20"/>
          <w:szCs w:val="20"/>
        </w:rPr>
      </w:pPr>
      <w:r>
        <w:rPr>
          <w:sz w:val="20"/>
          <w:szCs w:val="20"/>
        </w:rPr>
        <w:t>I</w:t>
      </w:r>
      <w:r>
        <w:rPr>
          <w:sz w:val="20"/>
          <w:szCs w:val="20"/>
        </w:rPr>
        <w:t>n addition, we provide day-reporting and substance abuse treatment programs at some of our community corrections facilities. These programs, depending on the needs of the offender, can provide cognitive behavioral-based programs to assis</w:t>
      </w:r>
      <w:r>
        <w:rPr>
          <w:sz w:val="20"/>
          <w:szCs w:val="20"/>
        </w:rPr>
        <w:t>t</w:t>
      </w:r>
      <w:r>
        <w:rPr>
          <w:sz w:val="20"/>
          <w:szCs w:val="20"/>
        </w:rPr>
        <w:t xml:space="preserve"> </w:t>
      </w:r>
      <w:r>
        <w:rPr>
          <w:sz w:val="20"/>
          <w:szCs w:val="20"/>
        </w:rPr>
        <w:t>in the offender's</w:t>
      </w:r>
      <w:r>
        <w:rPr>
          <w:sz w:val="20"/>
          <w:szCs w:val="20"/>
        </w:rPr>
        <w:t xml:space="preserve"> successful reentry while holding the individual accountable while living in the communit</w:t>
      </w:r>
      <w:r>
        <w:rPr>
          <w:sz w:val="20"/>
          <w:szCs w:val="20"/>
        </w:rPr>
        <w:t>y</w:t>
      </w:r>
      <w:r>
        <w:rPr>
          <w:sz w:val="20"/>
          <w:szCs w:val="20"/>
        </w:rPr>
        <w:t>.</w:t>
      </w:r>
    </w:p>
    <w:p w:rsidR="00000000" w:rsidRDefault="006D723D">
      <w:pPr>
        <w:pStyle w:val="a3"/>
        <w:spacing w:before="240" w:beforeAutospacing="0" w:after="0" w:afterAutospacing="0"/>
        <w:jc w:val="both"/>
        <w:rPr>
          <w:sz w:val="20"/>
          <w:szCs w:val="20"/>
        </w:rPr>
      </w:pPr>
      <w:r>
        <w:rPr>
          <w:sz w:val="20"/>
          <w:szCs w:val="20"/>
        </w:rPr>
        <w:t>We also provide a number of non-residential correctional alternative services, including electronic monitoring and case management services, under our CoreCivic Com</w:t>
      </w:r>
      <w:r>
        <w:rPr>
          <w:sz w:val="20"/>
          <w:szCs w:val="20"/>
        </w:rPr>
        <w:t>munity segment. Governmental customers use electronic monitoring products and services to monitor low risk offenders as a way to help reduce overcrowding in correctional facilities, as a monitoring and sanctioning tool, and to promote public safety by impo</w:t>
      </w:r>
      <w:r>
        <w:rPr>
          <w:sz w:val="20"/>
          <w:szCs w:val="20"/>
        </w:rPr>
        <w:t>sing restrictions on movement and serving as a deterrent for alcohol usage. Providing these non-residential services is a natural complement to our broad network of residential reentry facilities and can help keep individuals from returning to prison or be</w:t>
      </w:r>
      <w:r>
        <w:rPr>
          <w:sz w:val="20"/>
          <w:szCs w:val="20"/>
        </w:rPr>
        <w:t>ing incarcerated in the first place</w:t>
      </w:r>
      <w:r>
        <w:rPr>
          <w:sz w:val="20"/>
          <w:szCs w:val="20"/>
        </w:rPr>
        <w:t>.</w:t>
      </w:r>
    </w:p>
    <w:p w:rsidR="00000000" w:rsidRDefault="006D723D">
      <w:pPr>
        <w:pStyle w:val="a3"/>
        <w:spacing w:before="240" w:beforeAutospacing="0" w:after="0" w:afterAutospacing="0"/>
        <w:jc w:val="both"/>
        <w:rPr>
          <w:sz w:val="20"/>
          <w:szCs w:val="20"/>
        </w:rPr>
      </w:pPr>
      <w:r>
        <w:rPr>
          <w:sz w:val="20"/>
          <w:szCs w:val="20"/>
        </w:rPr>
        <w:t>Ultimately, the work we do is intended to give people the necessary skills to reintegrate with their communities permanently. We are proud of the teachers, counselors, case managers, chaplains, and other offender suppor</w:t>
      </w:r>
      <w:r>
        <w:rPr>
          <w:sz w:val="20"/>
          <w:szCs w:val="20"/>
        </w:rPr>
        <w:t>t service professionals who provide these services to the men and women entrusted in our care</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1</w:t>
      </w:r>
      <w:r>
        <w:rPr>
          <w:sz w:val="20"/>
          <w:szCs w:val="20"/>
        </w:rPr>
        <w:t>2</w:t>
      </w:r>
    </w:p>
    <w:p w:rsidR="00000000" w:rsidRDefault="006D723D">
      <w:pPr>
        <w:rPr>
          <w:rFonts w:eastAsia="Times New Roman"/>
        </w:rPr>
      </w:pPr>
      <w:r>
        <w:rPr>
          <w:rFonts w:eastAsia="Times New Roman"/>
        </w:rPr>
        <w:pict>
          <v:rect id="_x0000_i1036"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To further underscore our long-term commitment to reducing recidivism, since October 2017, we have maintained a nation</w:t>
      </w:r>
      <w:r>
        <w:rPr>
          <w:sz w:val="20"/>
          <w:szCs w:val="20"/>
        </w:rPr>
        <w:t xml:space="preserve">wide initiative to advocate for a range of government policies that will help former offenders successfully reenter society and stay out of prison. As part of this continued initiative, we apply government relations resources and expertise to advocate for </w:t>
      </w:r>
      <w:r>
        <w:rPr>
          <w:sz w:val="20"/>
          <w:szCs w:val="20"/>
        </w:rPr>
        <w:t>the following policies</w:t>
      </w:r>
      <w:r>
        <w:rPr>
          <w:sz w:val="20"/>
          <w:szCs w:val="20"/>
        </w:rPr>
        <w:t>:</w:t>
      </w:r>
    </w:p>
    <w:p w:rsidR="00000000" w:rsidRDefault="006D723D">
      <w:pPr>
        <w:jc w:val="both"/>
        <w:divId w:val="335038232"/>
        <w:rPr>
          <w:rFonts w:eastAsia="Times New Roman"/>
        </w:rPr>
      </w:pPr>
      <w:r>
        <w:rPr>
          <w:rFonts w:eastAsia="Times New Roman"/>
          <w:sz w:val="20"/>
          <w:szCs w:val="20"/>
        </w:rPr>
        <w:t>•</w:t>
      </w:r>
    </w:p>
    <w:p w:rsidR="00000000" w:rsidRDefault="006D723D">
      <w:pPr>
        <w:jc w:val="both"/>
        <w:divId w:val="96602864"/>
        <w:rPr>
          <w:rFonts w:eastAsia="Times New Roman"/>
        </w:rPr>
      </w:pPr>
      <w:r>
        <w:rPr>
          <w:rFonts w:eastAsia="Times New Roman"/>
          <w:sz w:val="20"/>
          <w:szCs w:val="20"/>
        </w:rPr>
        <w:t>"Ban-the-Box" proposals to help improve former inmates' chances at getting a job</w:t>
      </w:r>
      <w:r>
        <w:rPr>
          <w:rFonts w:eastAsia="Times New Roman"/>
          <w:sz w:val="20"/>
          <w:szCs w:val="20"/>
        </w:rPr>
        <w:t>;</w:t>
      </w:r>
    </w:p>
    <w:p w:rsidR="00000000" w:rsidRDefault="006D723D">
      <w:pPr>
        <w:jc w:val="both"/>
        <w:divId w:val="2011441899"/>
        <w:rPr>
          <w:rFonts w:eastAsia="Times New Roman"/>
        </w:rPr>
      </w:pPr>
      <w:r>
        <w:rPr>
          <w:rFonts w:eastAsia="Times New Roman"/>
          <w:sz w:val="20"/>
          <w:szCs w:val="20"/>
        </w:rPr>
        <w:t>•</w:t>
      </w:r>
    </w:p>
    <w:p w:rsidR="00000000" w:rsidRDefault="006D723D">
      <w:pPr>
        <w:jc w:val="both"/>
        <w:divId w:val="42219263"/>
        <w:rPr>
          <w:rFonts w:eastAsia="Times New Roman"/>
        </w:rPr>
      </w:pPr>
      <w:r>
        <w:rPr>
          <w:rFonts w:eastAsia="Times New Roman"/>
          <w:sz w:val="20"/>
          <w:szCs w:val="20"/>
        </w:rPr>
        <w:t>Reduced legal barriers to make it easier and less risky for companies to hire former inmates</w:t>
      </w:r>
      <w:r>
        <w:rPr>
          <w:rFonts w:eastAsia="Times New Roman"/>
          <w:sz w:val="20"/>
          <w:szCs w:val="20"/>
        </w:rPr>
        <w:t>;</w:t>
      </w:r>
    </w:p>
    <w:p w:rsidR="00000000" w:rsidRDefault="006D723D">
      <w:pPr>
        <w:jc w:val="both"/>
        <w:divId w:val="125239789"/>
        <w:rPr>
          <w:rFonts w:eastAsia="Times New Roman"/>
        </w:rPr>
      </w:pPr>
      <w:r>
        <w:rPr>
          <w:rFonts w:eastAsia="Times New Roman"/>
          <w:sz w:val="20"/>
          <w:szCs w:val="20"/>
        </w:rPr>
        <w:t>•</w:t>
      </w:r>
    </w:p>
    <w:p w:rsidR="00000000" w:rsidRDefault="006D723D">
      <w:pPr>
        <w:jc w:val="both"/>
        <w:divId w:val="324090037"/>
        <w:rPr>
          <w:rFonts w:eastAsia="Times New Roman"/>
        </w:rPr>
      </w:pPr>
      <w:r>
        <w:rPr>
          <w:rFonts w:eastAsia="Times New Roman"/>
          <w:sz w:val="20"/>
          <w:szCs w:val="20"/>
        </w:rPr>
        <w:t>Increased funding for reentry programs in areas su</w:t>
      </w:r>
      <w:r>
        <w:rPr>
          <w:rFonts w:eastAsia="Times New Roman"/>
          <w:sz w:val="20"/>
          <w:szCs w:val="20"/>
        </w:rPr>
        <w:t>ch as education, addiction treatment, faith-based offerings, victim impact and post-release employment; and</w:t>
      </w:r>
      <w:r>
        <w:rPr>
          <w:rFonts w:eastAsia="Times New Roman"/>
          <w:sz w:val="20"/>
          <w:szCs w:val="20"/>
        </w:rPr>
        <w:t xml:space="preserve"> </w:t>
      </w:r>
    </w:p>
    <w:p w:rsidR="00000000" w:rsidRDefault="006D723D">
      <w:pPr>
        <w:jc w:val="both"/>
        <w:divId w:val="776143765"/>
        <w:rPr>
          <w:rFonts w:eastAsia="Times New Roman"/>
        </w:rPr>
      </w:pPr>
      <w:r>
        <w:rPr>
          <w:rFonts w:eastAsia="Times New Roman"/>
          <w:sz w:val="20"/>
          <w:szCs w:val="20"/>
        </w:rPr>
        <w:t>•</w:t>
      </w:r>
    </w:p>
    <w:p w:rsidR="00000000" w:rsidRDefault="006D723D">
      <w:pPr>
        <w:jc w:val="both"/>
        <w:divId w:val="1521892447"/>
        <w:rPr>
          <w:rFonts w:eastAsia="Times New Roman"/>
        </w:rPr>
      </w:pPr>
      <w:r>
        <w:rPr>
          <w:rFonts w:eastAsia="Times New Roman"/>
          <w:sz w:val="20"/>
          <w:szCs w:val="20"/>
        </w:rPr>
        <w:t>Social impact bond pilot programs that tie contractor payments to positive outcomes</w:t>
      </w:r>
      <w:r>
        <w:rPr>
          <w:rFonts w:eastAsia="Times New Roman"/>
          <w:sz w:val="20"/>
          <w:szCs w:val="20"/>
        </w:rPr>
        <w:t>.</w:t>
      </w:r>
    </w:p>
    <w:p w:rsidR="00000000" w:rsidRDefault="006D723D">
      <w:pPr>
        <w:pStyle w:val="a3"/>
        <w:spacing w:before="240" w:beforeAutospacing="0" w:after="0" w:afterAutospacing="0"/>
        <w:jc w:val="both"/>
        <w:rPr>
          <w:sz w:val="20"/>
          <w:szCs w:val="20"/>
        </w:rPr>
      </w:pPr>
      <w:r>
        <w:rPr>
          <w:sz w:val="20"/>
          <w:szCs w:val="20"/>
        </w:rPr>
        <w:t xml:space="preserve">In 2020, we announced that we will publicly advocate at the </w:t>
      </w:r>
      <w:r>
        <w:rPr>
          <w:sz w:val="20"/>
          <w:szCs w:val="20"/>
        </w:rPr>
        <w:t>federal and state levels for a slate of new policies that will help people succeed in their communities after being released from prison. Specifically, we pledged our support for Pell Grant Restoration, Voting Rights Restoration and Licensure Reform Polici</w:t>
      </w:r>
      <w:r>
        <w:rPr>
          <w:sz w:val="20"/>
          <w:szCs w:val="20"/>
        </w:rPr>
        <w:t>es. Also in 2020, we began a partnership with, and continue to invest in, Prison Fellowship, a leading advocate for criminal justice reform serving formerly incarcerated individuals and their family members. Through a network of programming and advocacy ef</w:t>
      </w:r>
      <w:r>
        <w:rPr>
          <w:sz w:val="20"/>
          <w:szCs w:val="20"/>
        </w:rPr>
        <w:t>forts, the organization seeks to effect positive change at every level of the criminal justice system. We have committed to a multi-year partnership in Prison Fellowship's Warden Exchange program, a residency and online professional development program tha</w:t>
      </w:r>
      <w:r>
        <w:rPr>
          <w:sz w:val="20"/>
          <w:szCs w:val="20"/>
        </w:rPr>
        <w:t>t enables wardens to share reentry best practices and problem solve amongst a peer group. We believe that as successful as we may be with our work inside our facilities, offenders still face embedded societal barriers when they return to their communities.</w:t>
      </w:r>
      <w:r>
        <w:rPr>
          <w:sz w:val="20"/>
          <w:szCs w:val="20"/>
        </w:rPr>
        <w:t xml:space="preserve"> Supporting recidivism-reducing policies is one way we can bridge the gap and give the men and women entrusted in our care a better opportunity at never returning to prison</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i/>
          <w:iCs/>
          <w:sz w:val="20"/>
          <w:szCs w:val="20"/>
        </w:rPr>
        <w:t>Operating guidelines</w:t>
      </w:r>
      <w:r>
        <w:rPr>
          <w:i/>
          <w:iCs/>
          <w:sz w:val="20"/>
          <w:szCs w:val="20"/>
        </w:rPr>
        <w:t>.</w:t>
      </w:r>
    </w:p>
    <w:p w:rsidR="00000000" w:rsidRDefault="006D723D">
      <w:pPr>
        <w:pStyle w:val="a3"/>
        <w:spacing w:before="120" w:beforeAutospacing="0" w:after="0" w:afterAutospacing="0"/>
        <w:jc w:val="both"/>
        <w:rPr>
          <w:sz w:val="20"/>
          <w:szCs w:val="20"/>
        </w:rPr>
      </w:pPr>
      <w:r>
        <w:rPr>
          <w:sz w:val="20"/>
          <w:szCs w:val="20"/>
        </w:rPr>
        <w:t>The American Correctional Association, or ACA, is an independent organization comprised of corrections professionals that establishes accreditation standards for correctional and detention facilities around the world. Outside agency standards, such as thos</w:t>
      </w:r>
      <w:r>
        <w:rPr>
          <w:sz w:val="20"/>
          <w:szCs w:val="20"/>
        </w:rPr>
        <w:t>e established by the ACA, provide us with the industry's most widely accepted operational guidelines. ACA accredited facilities must be audited and re-accredited at least every three years. We have sought and received ACA accreditation for 34, or approxima</w:t>
      </w:r>
      <w:r>
        <w:rPr>
          <w:sz w:val="20"/>
          <w:szCs w:val="20"/>
        </w:rPr>
        <w:t>tely 97%, of the eligible facilities we operated as of December 31, 2022, excluding our residential reentry facilities. During 2022, 15 of the facilities we manage were newly accredited or re-accredited by the ACA with an average score of 99.5%, making our</w:t>
      </w:r>
      <w:r>
        <w:rPr>
          <w:sz w:val="20"/>
          <w:szCs w:val="20"/>
        </w:rPr>
        <w:t xml:space="preserve"> portfolio average 99.5%</w:t>
      </w:r>
      <w:r>
        <w:rPr>
          <w:sz w:val="20"/>
          <w:szCs w:val="20"/>
        </w:rPr>
        <w:t>.</w:t>
      </w:r>
    </w:p>
    <w:p w:rsidR="00000000" w:rsidRDefault="006D723D">
      <w:pPr>
        <w:pStyle w:val="a3"/>
        <w:spacing w:before="240" w:beforeAutospacing="0" w:after="0" w:afterAutospacing="0"/>
        <w:jc w:val="both"/>
        <w:rPr>
          <w:sz w:val="20"/>
          <w:szCs w:val="20"/>
        </w:rPr>
      </w:pPr>
      <w:r>
        <w:rPr>
          <w:sz w:val="20"/>
          <w:szCs w:val="20"/>
        </w:rPr>
        <w:t>Beyond the standards provided by the ACA, our facilities are operated in accordance with a variety of company and facility-specific policies and procedures, as well as various contractual requirements. Many of these policies and p</w:t>
      </w:r>
      <w:r>
        <w:rPr>
          <w:sz w:val="20"/>
          <w:szCs w:val="20"/>
        </w:rPr>
        <w:t>rocedures reflect the high standards generated by a number of sources, including the ACA, the National Commission on Correctional Healthcare, the Occupational Safety and Health Administration, as well as federal, state, and local government codes and regul</w:t>
      </w:r>
      <w:r>
        <w:rPr>
          <w:sz w:val="20"/>
          <w:szCs w:val="20"/>
        </w:rPr>
        <w:t>ations and longstanding correctional procedures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In addition, our facilities are operated in compliance with the Prison Rape Elimination Act, or PREA, standards. All confinement facilities covered under the PREA standards must be audited at least every th</w:t>
      </w:r>
      <w:r>
        <w:rPr>
          <w:sz w:val="20"/>
          <w:szCs w:val="20"/>
        </w:rPr>
        <w:t>ree years to maintain compliance with the PREA standards. We utilize DOJ certified PREA auditors to help ensure that all facilities operate in compliance with applicable PREA regulations</w:t>
      </w:r>
      <w:r>
        <w:rPr>
          <w:sz w:val="20"/>
          <w:szCs w:val="20"/>
        </w:rPr>
        <w:t>.</w:t>
      </w:r>
    </w:p>
    <w:p w:rsidR="00000000" w:rsidRDefault="006D723D">
      <w:pPr>
        <w:pStyle w:val="a3"/>
        <w:spacing w:before="240" w:beforeAutospacing="0" w:after="0" w:afterAutospacing="0"/>
        <w:jc w:val="both"/>
        <w:rPr>
          <w:sz w:val="20"/>
          <w:szCs w:val="20"/>
        </w:rPr>
      </w:pPr>
      <w:r>
        <w:rPr>
          <w:sz w:val="20"/>
          <w:szCs w:val="20"/>
        </w:rPr>
        <w:t xml:space="preserve">Our facilities operate under these established standards, policies, </w:t>
      </w:r>
      <w:r>
        <w:rPr>
          <w:sz w:val="20"/>
          <w:szCs w:val="20"/>
        </w:rPr>
        <w:t>and procedures, and also are subject to annual audits by our Quality Assurance Division, or QAD, which operates under, and reports directly to, our Office of General Counsel and acts independently from our Operations Division. Through the QAD, we have devo</w:t>
      </w:r>
      <w:r>
        <w:rPr>
          <w:sz w:val="20"/>
          <w:szCs w:val="20"/>
        </w:rPr>
        <w:t>ted significant resources to ensuring that our facilities meet outside agency and accrediting organization standards and guidelines</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1</w:t>
      </w:r>
      <w:r>
        <w:rPr>
          <w:sz w:val="20"/>
          <w:szCs w:val="20"/>
        </w:rPr>
        <w:t>3</w:t>
      </w:r>
    </w:p>
    <w:p w:rsidR="00000000" w:rsidRDefault="006D723D">
      <w:pPr>
        <w:rPr>
          <w:rFonts w:eastAsia="Times New Roman"/>
        </w:rPr>
      </w:pPr>
      <w:r>
        <w:rPr>
          <w:rFonts w:eastAsia="Times New Roman"/>
        </w:rPr>
        <w:pict>
          <v:rect id="_x0000_i1037"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The QAD employs a team of full-time auditors, who are subject matter experts fro</w:t>
      </w:r>
      <w:r>
        <w:rPr>
          <w:sz w:val="20"/>
          <w:szCs w:val="20"/>
        </w:rPr>
        <w:t>m all major disciplines within institutional operations. Annually, QAD auditors generally conduct unannounced on-site evaluations of each CoreCivic Safety facility we operate using specialized audit tools, typically containing approximately 1,550 audit ind</w:t>
      </w:r>
      <w:r>
        <w:rPr>
          <w:sz w:val="20"/>
          <w:szCs w:val="20"/>
        </w:rPr>
        <w:t xml:space="preserve">icators across all major operational areas. In most instances, these audit tools are tailored to facility and partner specific requirements. In 2022, due to the impact of COVID-19, the QAD's annual facility audits were announced. In 2023, the QAD's annual </w:t>
      </w:r>
      <w:r>
        <w:rPr>
          <w:sz w:val="20"/>
          <w:szCs w:val="20"/>
        </w:rPr>
        <w:t>facility audits will again be unannounced, with certain exceptions if necessary. In addition, audit teams provide guidance to facility staff on operational best practices and assist staff with addressing specific areas of need, such as meeting requirements</w:t>
      </w:r>
      <w:r>
        <w:rPr>
          <w:sz w:val="20"/>
          <w:szCs w:val="20"/>
        </w:rPr>
        <w:t xml:space="preserve"> of new partner contracts and providing detailed training on compliance requirements for new departmental managers</w:t>
      </w:r>
      <w:r>
        <w:rPr>
          <w:sz w:val="20"/>
          <w:szCs w:val="20"/>
        </w:rPr>
        <w:t>.</w:t>
      </w:r>
    </w:p>
    <w:p w:rsidR="00000000" w:rsidRDefault="006D723D">
      <w:pPr>
        <w:pStyle w:val="a3"/>
        <w:spacing w:before="240" w:beforeAutospacing="0" w:after="0" w:afterAutospacing="0"/>
        <w:jc w:val="both"/>
        <w:rPr>
          <w:sz w:val="20"/>
          <w:szCs w:val="20"/>
        </w:rPr>
      </w:pPr>
      <w:r>
        <w:rPr>
          <w:sz w:val="20"/>
          <w:szCs w:val="20"/>
        </w:rPr>
        <w:t xml:space="preserve">The QAD management team coordinates overall operational auditing and compliance efforts across all correctional, detention, and residential </w:t>
      </w:r>
      <w:r>
        <w:rPr>
          <w:sz w:val="20"/>
          <w:szCs w:val="20"/>
        </w:rPr>
        <w:t>reentry facilities we manage. In conjunction with subject matter experts and other stakeholders having risk management responsibilities, the QAD management team develops performance measurement tools used in facility audits. The QAD management team provide</w:t>
      </w:r>
      <w:r>
        <w:rPr>
          <w:sz w:val="20"/>
          <w:szCs w:val="20"/>
        </w:rPr>
        <w:t>s governance of the corrective action plan process for any items of nonconformance identified through internal and external facility reviews. Our QAD also contracts with teams of ACA certified correctional auditors to evaluate compliance with ACA standards</w:t>
      </w:r>
      <w:r>
        <w:rPr>
          <w:sz w:val="20"/>
          <w:szCs w:val="20"/>
        </w:rPr>
        <w:t xml:space="preserve"> at accredited facilities. Similarly, the QAD routinely incorporates a review of facility compliance with key ACA standards and PREA regulations during annual audits of company facilities</w:t>
      </w:r>
      <w:r>
        <w:rPr>
          <w:sz w:val="20"/>
          <w:szCs w:val="20"/>
        </w:rPr>
        <w:t>.</w:t>
      </w:r>
    </w:p>
    <w:p w:rsidR="00000000" w:rsidRDefault="006D723D">
      <w:pPr>
        <w:pStyle w:val="a3"/>
        <w:spacing w:before="240" w:beforeAutospacing="0" w:after="0" w:afterAutospacing="0"/>
        <w:jc w:val="both"/>
        <w:rPr>
          <w:sz w:val="20"/>
          <w:szCs w:val="20"/>
        </w:rPr>
      </w:pPr>
      <w:r>
        <w:rPr>
          <w:sz w:val="20"/>
          <w:szCs w:val="20"/>
        </w:rPr>
        <w:t>In addition to our own internal audit and contract compliance effor</w:t>
      </w:r>
      <w:r>
        <w:rPr>
          <w:sz w:val="20"/>
          <w:szCs w:val="20"/>
        </w:rPr>
        <w:t>ts, we are also subject to oversight by our government partners. As part of their standard monitoring and compliance programs, approximately 77% of our federal and state government partners typically conduct formal contract-compliance audits and inspection</w:t>
      </w:r>
      <w:r>
        <w:rPr>
          <w:sz w:val="20"/>
          <w:szCs w:val="20"/>
        </w:rPr>
        <w:t>s at least annually at CoreCivic Safety facilities. In addition to these annual audits of our facilities, many partners conduct additional area-specific operational audits and inspections on a more frequent basis, including monthly, quarterly, and semi-ann</w:t>
      </w:r>
      <w:r>
        <w:rPr>
          <w:sz w:val="20"/>
          <w:szCs w:val="20"/>
        </w:rPr>
        <w:t>ually. Some of these audits and facility inspections by our partners are conducted on an unannounced basis. In 2022, our government partners conducted approximately 220 annual, semi-annual, quarterly, and monthly compliance audits and inspections at our Co</w:t>
      </w:r>
      <w:r>
        <w:rPr>
          <w:sz w:val="20"/>
          <w:szCs w:val="20"/>
        </w:rPr>
        <w:t>reCivic Safety facilities. In addition, the majority of our federal and state government partners employ on-site contract monitors who monitor performance and contract compliance at our facilities on a full- or part-time basis. In 2022, 100% of the CoreCiv</w:t>
      </w:r>
      <w:r>
        <w:rPr>
          <w:sz w:val="20"/>
          <w:szCs w:val="20"/>
        </w:rPr>
        <w:t>ic Safety facilities we manage have an assigned contract monitor</w:t>
      </w:r>
      <w:r>
        <w:rPr>
          <w:sz w:val="20"/>
          <w:szCs w:val="20"/>
        </w:rPr>
        <w:t>.</w:t>
      </w:r>
      <w:r>
        <w:rPr>
          <w:sz w:val="20"/>
          <w:szCs w:val="20"/>
        </w:rPr>
        <w:t xml:space="preserve"> </w:t>
      </w:r>
    </w:p>
    <w:p w:rsidR="00000000" w:rsidRDefault="006D723D">
      <w:pPr>
        <w:pStyle w:val="a3"/>
        <w:spacing w:before="360" w:beforeAutospacing="0" w:after="0" w:afterAutospacing="0"/>
        <w:jc w:val="both"/>
        <w:rPr>
          <w:sz w:val="20"/>
          <w:szCs w:val="20"/>
        </w:rPr>
      </w:pPr>
      <w:r>
        <w:rPr>
          <w:b/>
          <w:bCs/>
          <w:sz w:val="20"/>
          <w:szCs w:val="20"/>
        </w:rPr>
        <w:t xml:space="preserve">Business </w:t>
      </w:r>
      <w:r>
        <w:rPr>
          <w:b/>
          <w:bCs/>
          <w:sz w:val="20"/>
          <w:szCs w:val="20"/>
        </w:rPr>
        <w:t>D</w:t>
      </w:r>
      <w:r>
        <w:rPr>
          <w:b/>
          <w:bCs/>
          <w:sz w:val="20"/>
          <w:szCs w:val="20"/>
        </w:rPr>
        <w:t>evelopmen</w:t>
      </w:r>
      <w:r>
        <w:rPr>
          <w:b/>
          <w:bCs/>
          <w:sz w:val="20"/>
          <w:szCs w:val="20"/>
        </w:rPr>
        <w:t>t</w:t>
      </w:r>
    </w:p>
    <w:p w:rsidR="00000000" w:rsidRDefault="006D723D">
      <w:pPr>
        <w:pStyle w:val="a3"/>
        <w:spacing w:before="120" w:beforeAutospacing="0" w:after="0" w:afterAutospacing="0"/>
        <w:jc w:val="both"/>
        <w:rPr>
          <w:sz w:val="20"/>
          <w:szCs w:val="20"/>
        </w:rPr>
      </w:pPr>
      <w:r>
        <w:rPr>
          <w:sz w:val="20"/>
          <w:szCs w:val="20"/>
        </w:rPr>
        <w:t xml:space="preserve">We believe we own, or control via a long-term lease, approximately 56% of all privately owned prison beds in the United States, manage nearly 38% of all privately managed prison beds in the United States, and are currently the second largest private owner </w:t>
      </w:r>
      <w:r>
        <w:rPr>
          <w:sz w:val="20"/>
          <w:szCs w:val="20"/>
        </w:rPr>
        <w:t>and provider of community corrections services in the nation. Under the direction of our partnership development department, we market our facilities and services to government agencies responsible for federal, state, and local correctional, detention, and</w:t>
      </w:r>
      <w:r>
        <w:rPr>
          <w:sz w:val="20"/>
          <w:szCs w:val="20"/>
        </w:rPr>
        <w:t xml:space="preserve"> residential reentry facilities in the United States. With 2022 occupancy of 70%, including 8,459 beds in idle prison facilities and 450 beds in idle residential reentry facilities, we have the capacity to grow earnings and cash flows without the need to d</w:t>
      </w:r>
      <w:r>
        <w:rPr>
          <w:sz w:val="20"/>
          <w:szCs w:val="20"/>
        </w:rPr>
        <w:t>eploy significant capital. Under the direction of our innovation department, we also intend to continue to pursue new development opportunities in our Properties segment, to meet the need to modernize outdated correctional infrastructure across the country</w:t>
      </w:r>
      <w:r>
        <w:rPr>
          <w:sz w:val="20"/>
          <w:szCs w:val="20"/>
        </w:rPr>
        <w:t>, and explore potential opportunities to expand the scope of non-residential correctional alternatives we provide in our Community segment. We will also respond to customer demand and may develop or expand correctional and detention facilities when we beli</w:t>
      </w:r>
      <w:r>
        <w:rPr>
          <w:sz w:val="20"/>
          <w:szCs w:val="20"/>
        </w:rPr>
        <w:t>eve potential long-term returns justify the capital deployment</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We execute cross-departmental efforts to market CoreCivic Safety solutions to government partners that seek corrections and detention management services, CoreCivic Community solutions to gov</w:t>
      </w:r>
      <w:r>
        <w:rPr>
          <w:sz w:val="20"/>
          <w:szCs w:val="20"/>
        </w:rPr>
        <w:t>ernment partners seeking residential reentry services, and CoreCivic Properties solutions to customers that need real estate and maintenance services</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1</w:t>
      </w:r>
      <w:r>
        <w:rPr>
          <w:sz w:val="20"/>
          <w:szCs w:val="20"/>
        </w:rPr>
        <w:t>4</w:t>
      </w:r>
    </w:p>
    <w:p w:rsidR="00000000" w:rsidRDefault="006D723D">
      <w:pPr>
        <w:rPr>
          <w:rFonts w:eastAsia="Times New Roman"/>
        </w:rPr>
      </w:pPr>
      <w:r>
        <w:rPr>
          <w:rFonts w:eastAsia="Times New Roman"/>
        </w:rPr>
        <w:pict>
          <v:rect id="_x0000_i1038"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 xml:space="preserve">Business from our federal customers, including primarily ICE, </w:t>
      </w:r>
      <w:r>
        <w:rPr>
          <w:sz w:val="20"/>
          <w:szCs w:val="20"/>
        </w:rPr>
        <w:t>the USMS, and the BOP, constituted 54%, 56%, and 52% of our total revenue during 2022, 2021, and 2020, respectively. Business from our federal customers continues to be a significant component of our business, although the source of revenue is derived from</w:t>
      </w:r>
      <w:r>
        <w:rPr>
          <w:sz w:val="20"/>
          <w:szCs w:val="20"/>
        </w:rPr>
        <w:t xml:space="preserve"> many contracts at various types of properties, i.e. correctional, detention, and reentry. ICE (29%, 30%, and 28% during 2022, 2021, and 2020, respectively) and the USMS (22%, 23%, and 21% during 2022, 2021 and 2020, respectively) each accounted for 10% or</w:t>
      </w:r>
      <w:r>
        <w:rPr>
          <w:sz w:val="20"/>
          <w:szCs w:val="20"/>
        </w:rPr>
        <w:t xml:space="preserve"> more of our total revenue during the last three years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Certain of our contracts with federal partners contain clauses that guarantee the federal partner access to a minimum bed capacity in exchange for a fixed monthly payment. However, these contracts al</w:t>
      </w:r>
      <w:r>
        <w:rPr>
          <w:sz w:val="20"/>
          <w:szCs w:val="20"/>
        </w:rPr>
        <w:t>so generally provide the government the ability to cancel the contract for non-appropriation of funds or for convenience. The solutions we provide to our federal customers continue to be a significant component of our business. We believe our ability to pr</w:t>
      </w:r>
      <w:r>
        <w:rPr>
          <w:sz w:val="20"/>
          <w:szCs w:val="20"/>
        </w:rPr>
        <w:t>ovide flexible solutions and fulfill emergent needs of our federal customers would be very difficult and costly to replicate in the public sector</w:t>
      </w:r>
      <w:r>
        <w:rPr>
          <w:sz w:val="20"/>
          <w:szCs w:val="20"/>
        </w:rPr>
        <w:t>.</w:t>
      </w:r>
    </w:p>
    <w:p w:rsidR="00000000" w:rsidRDefault="006D723D">
      <w:pPr>
        <w:pStyle w:val="a3"/>
        <w:spacing w:before="240" w:beforeAutospacing="0" w:after="0" w:afterAutospacing="0"/>
        <w:jc w:val="both"/>
        <w:rPr>
          <w:sz w:val="20"/>
          <w:szCs w:val="20"/>
        </w:rPr>
      </w:pPr>
      <w:r>
        <w:rPr>
          <w:sz w:val="20"/>
          <w:szCs w:val="20"/>
        </w:rPr>
        <w:t>On January 26, 2021, President Biden issued the Private Prison EO. The Private Prison EO directs the Attorney</w:t>
      </w:r>
      <w:r>
        <w:rPr>
          <w:sz w:val="20"/>
          <w:szCs w:val="20"/>
        </w:rPr>
        <w:t xml:space="preserve"> General to not renew DOJ contracts with privately operated criminal detention facilities. Two agencies of the DOJ, the BOP and the USMS utilize our services. The BOP houses inmates who have been convicted, and the USMS is generally responsible for detaine</w:t>
      </w:r>
      <w:r>
        <w:rPr>
          <w:sz w:val="20"/>
          <w:szCs w:val="20"/>
        </w:rPr>
        <w:t>es who are awaiting trial. The BOP has experienced a steady decline in inmate populations over the last decade, a trend that has been accelerated by the COVID-19 pandemic. Our remaining prison contract with the BOP at the 1,978-bed McRae Correctional Facil</w:t>
      </w:r>
      <w:r>
        <w:rPr>
          <w:sz w:val="20"/>
          <w:szCs w:val="20"/>
        </w:rPr>
        <w:t>ity expired on November 30, 2022, and was not renewed. This contract accounted for 2% ($37.8 million) and 2% ($40.6 million) of our total revenue for the twelve months ended December 31, 2022 and 2021, respectively. We completed the sale of the McRae facil</w:t>
      </w:r>
      <w:r>
        <w:rPr>
          <w:sz w:val="20"/>
          <w:szCs w:val="20"/>
        </w:rPr>
        <w:t>ity in August 2022 to the Georgia Building Authority, and entered into an agreement to lease the facility through November 2022 to allow us to fulfill our obligations to the BOP. The Private Prison EO only applies to agencies that are part of the DOJ, whic</w:t>
      </w:r>
      <w:r>
        <w:rPr>
          <w:sz w:val="20"/>
          <w:szCs w:val="20"/>
        </w:rPr>
        <w:t>h includes the BOP and USMS. ICE facilities are not covered by the Private Prison EO, as ICE is an agency of the Department of Homeland Security, or DHS, not the DOJ, although it is possible that the federal government could choose to take similar action o</w:t>
      </w:r>
      <w:r>
        <w:rPr>
          <w:sz w:val="20"/>
          <w:szCs w:val="20"/>
        </w:rPr>
        <w:t>n ICE facilities in the future. For the twelve months ended December 31, 2022, USMS and ICE accounted for 22% ($403.9 million) and 29% ($527.3 million), respectively, of our total revenue. For the twelve months ended December 31, 2021, USMS and ICE account</w:t>
      </w:r>
      <w:r>
        <w:rPr>
          <w:sz w:val="20"/>
          <w:szCs w:val="20"/>
        </w:rPr>
        <w:t>ed for 23% ($433.6 million) and 30% ($552.2 million), respectively, of our total revenue</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Unlike the BOP, the USMS does not own detention capacity and relies on the private sector, along with various government agencies, for its detainee population. The U</w:t>
      </w:r>
      <w:r>
        <w:rPr>
          <w:sz w:val="20"/>
          <w:szCs w:val="20"/>
        </w:rPr>
        <w:t>SMS has been advised by the Office of the Deputy Attorney General not to renew existing contracts, or enter into new contracts for private detention facilities. During the second quarter of 2021, we had direct contracts with the USMS for up to 992 detainee</w:t>
      </w:r>
      <w:r>
        <w:rPr>
          <w:sz w:val="20"/>
          <w:szCs w:val="20"/>
        </w:rPr>
        <w:t>s at our 2016-bed Northeast Ohio Correctional Center and for up to approximately 96 detainees at our 664-bed Crossroads Correctional Center in Montana that expired and were not renewed. On May 28, 2021, we entered into a new three-year contract with Mahoni</w:t>
      </w:r>
      <w:r>
        <w:rPr>
          <w:sz w:val="20"/>
          <w:szCs w:val="20"/>
        </w:rPr>
        <w:t>ng County, Ohio to utilize up to 990 beds at our Northeast Ohio Correctional Center. Mahoning County is responsible for County inmates and federal detainees, including USMS detainees, and the County is using the Northeast Ohio facility to address its popul</w:t>
      </w:r>
      <w:r>
        <w:rPr>
          <w:sz w:val="20"/>
          <w:szCs w:val="20"/>
        </w:rPr>
        <w:t xml:space="preserve">ation needs. During the third quarter of 2021, we entered into an amendment to the contract with the state of Montana to utilize all of the capacity at the Crossroads Correctional Center, including the space vacated by the USMS, and to extend the existing </w:t>
      </w:r>
      <w:r>
        <w:rPr>
          <w:sz w:val="20"/>
          <w:szCs w:val="20"/>
        </w:rPr>
        <w:t>contract to June 30, 2023, with additional renewal options by mutual agreement through August 31, 2029. We had a direct contract with the USMS to care for detainees at our 600-bed West Tennessee Detention Facility that expired on September 30, 2021 and was</w:t>
      </w:r>
      <w:r>
        <w:rPr>
          <w:sz w:val="20"/>
          <w:szCs w:val="20"/>
        </w:rPr>
        <w:t xml:space="preserve"> not renewed. In addition, we had a direct contract with the USMS to care for detainees at our 1,033-bed Midwest Regional Reception Center (formerly known as the Leavenworth Detention Center) that expired on December 31, 2021 and was not renewed. We are ac</w:t>
      </w:r>
      <w:r>
        <w:rPr>
          <w:sz w:val="20"/>
          <w:szCs w:val="20"/>
        </w:rPr>
        <w:t>tively marketing the West Tennessee Detention Facility and the Midwest Regional Reception Center to other government agencies. However, we can provide no assurance that we will be able to reach agreements for the utilization of these facilities</w:t>
      </w:r>
      <w:r>
        <w:rPr>
          <w:sz w:val="20"/>
          <w:szCs w:val="20"/>
        </w:rPr>
        <w:t>.</w:t>
      </w:r>
    </w:p>
    <w:p w:rsidR="00000000" w:rsidRDefault="006D723D">
      <w:pPr>
        <w:pStyle w:val="a3"/>
        <w:spacing w:before="240" w:beforeAutospacing="0" w:after="0" w:afterAutospacing="0"/>
        <w:jc w:val="both"/>
        <w:rPr>
          <w:sz w:val="20"/>
          <w:szCs w:val="20"/>
        </w:rPr>
      </w:pPr>
      <w:r>
        <w:rPr>
          <w:sz w:val="20"/>
          <w:szCs w:val="20"/>
        </w:rPr>
        <w:t>We current</w:t>
      </w:r>
      <w:r>
        <w:rPr>
          <w:sz w:val="20"/>
          <w:szCs w:val="20"/>
        </w:rPr>
        <w:t>ly have</w:t>
      </w:r>
      <w:r>
        <w:rPr>
          <w:sz w:val="20"/>
          <w:szCs w:val="20"/>
        </w:rPr>
        <w:t xml:space="preserve"> </w:t>
      </w:r>
      <w:r>
        <w:rPr>
          <w:sz w:val="20"/>
          <w:szCs w:val="20"/>
        </w:rPr>
        <w:t>two detention facilities that have direct contracts with the USMS</w:t>
      </w:r>
      <w:r>
        <w:rPr>
          <w:sz w:val="20"/>
          <w:szCs w:val="20"/>
        </w:rPr>
        <w:t xml:space="preserve"> </w:t>
      </w:r>
      <w:r>
        <w:rPr>
          <w:sz w:val="20"/>
          <w:szCs w:val="20"/>
        </w:rPr>
        <w:t>that expire in September 2023 and September 2025. The facility with the contract expiring in September 2023 services a substantial number of USMS detainees that we believe will be ch</w:t>
      </w:r>
      <w:r>
        <w:rPr>
          <w:sz w:val="20"/>
          <w:szCs w:val="20"/>
        </w:rPr>
        <w:t>allenging to replace, and we intend to work with the USMS to enable it to continue to fulfill its mission.</w:t>
      </w:r>
      <w:r>
        <w:rPr>
          <w:sz w:val="20"/>
          <w:szCs w:val="20"/>
        </w:rPr>
        <w:t xml:space="preserve"> </w:t>
      </w:r>
      <w:r>
        <w:rPr>
          <w:sz w:val="20"/>
          <w:szCs w:val="20"/>
        </w:rPr>
        <w:t>However, we can provide no assurance that this contract will be renewed or replaced upon expiration. It is too early to predict the outcome of the ex</w:t>
      </w:r>
      <w:r>
        <w:rPr>
          <w:sz w:val="20"/>
          <w:szCs w:val="20"/>
        </w:rPr>
        <w:t>piration of the contract scheduled to expire in September 2025, and future developments could occur prior to the scheduled expiration dat</w:t>
      </w:r>
      <w:r>
        <w:rPr>
          <w:sz w:val="20"/>
          <w:szCs w:val="20"/>
        </w:rPr>
        <w:t>e</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1</w:t>
      </w:r>
      <w:r>
        <w:rPr>
          <w:sz w:val="20"/>
          <w:szCs w:val="20"/>
        </w:rPr>
        <w:t>5</w:t>
      </w:r>
    </w:p>
    <w:p w:rsidR="00000000" w:rsidRDefault="006D723D">
      <w:pPr>
        <w:rPr>
          <w:rFonts w:eastAsia="Times New Roman"/>
        </w:rPr>
      </w:pPr>
      <w:r>
        <w:rPr>
          <w:rFonts w:eastAsia="Times New Roman"/>
        </w:rPr>
        <w:pict>
          <v:rect id="_x0000_i1039"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In March 2020, the World Health Organization declared the outbreak of COVID-19 as a pandemic. As a result, in the first quarter of 2020, the federal government decided to deny entry at the United States southern border</w:t>
      </w:r>
      <w:r>
        <w:rPr>
          <w:sz w:val="20"/>
          <w:szCs w:val="20"/>
        </w:rPr>
        <w:t xml:space="preserve"> to asylum-seekers and anyone crossing the southern border without proper documentation or authority in an effort to contain the spread of COVID-19, a policy known as Title 42. This policy resulted in a reduction to the number of people ICE detained, inclu</w:t>
      </w:r>
      <w:r>
        <w:rPr>
          <w:sz w:val="20"/>
          <w:szCs w:val="20"/>
        </w:rPr>
        <w:t>ding in our detention facilities. On April 1, 2022, the Centers for Disease Control and Prevention, or CDC, issued a Public Health Determination terminating Title 42 with an effective date of May 23, 2022. However, on April 25, 2022, a federal judge issued</w:t>
      </w:r>
      <w:r>
        <w:rPr>
          <w:sz w:val="20"/>
          <w:szCs w:val="20"/>
        </w:rPr>
        <w:t xml:space="preserve"> a temporary restraining order blocking the termination of Title 42, and on May 20, 2022, ruled that the Biden administration violated administrative law when it announced that it planned to cease Title 42. On November 15, 2022, another federal judge ruled</w:t>
      </w:r>
      <w:r>
        <w:rPr>
          <w:sz w:val="20"/>
          <w:szCs w:val="20"/>
        </w:rPr>
        <w:t xml:space="preserve"> that expulsions under Title 42 were a violation of the Administrative Procedure Act, noting that Title 42 was an "arbitrary and capricious" violation of the Act, requiring the federal government to process all asylum seekers under applicable immigration l</w:t>
      </w:r>
      <w:r>
        <w:rPr>
          <w:sz w:val="20"/>
          <w:szCs w:val="20"/>
        </w:rPr>
        <w:t>aw in effect prior to the implementation of Title 42. However, on December 19, 2022, the Supreme Court temporarily maintained Title 42, and on December 27, 2022, granted a temporary stay on the cessation of Title 42, while it considers an appeal by a group</w:t>
      </w:r>
      <w:r>
        <w:rPr>
          <w:sz w:val="20"/>
          <w:szCs w:val="20"/>
        </w:rPr>
        <w:t xml:space="preserve"> of states seeking to continue Title 42. If Title 42 is terminated, such action may result in an increase in the number of undocumented people permitted to enter the United States claiming asylum, and could result in an increase in the number of people app</w:t>
      </w:r>
      <w:r>
        <w:rPr>
          <w:sz w:val="20"/>
          <w:szCs w:val="20"/>
        </w:rPr>
        <w:t>rehended and detained by ICE</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In February 2021, President Biden announced plans to allow certain migrants to pursue asylum in the United States while awaiting their proceedings in immigration courts, reversing a policy known as the Migrant Protection Prot</w:t>
      </w:r>
      <w:r>
        <w:rPr>
          <w:sz w:val="20"/>
          <w:szCs w:val="20"/>
        </w:rPr>
        <w:t>ocols, or MPP, commonly referred to as the "Remain in Mexico Policy," enacted by the Trump administration. The MPP required asylum seekers to wait in Mexico during the pendency of their immigration court proceedings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MPP, similar to Title 42, has been sub</w:t>
      </w:r>
      <w:r>
        <w:rPr>
          <w:sz w:val="20"/>
          <w:szCs w:val="20"/>
        </w:rPr>
        <w:t>ject to legal challenges. On August 13, 2021, a federal court ordered the Biden administration to reinstate the MPP finding that terminating MPP would be illegal "until the Department of Homeland Security has the capacity and willingness to detain immigran</w:t>
      </w:r>
      <w:r>
        <w:rPr>
          <w:sz w:val="20"/>
          <w:szCs w:val="20"/>
        </w:rPr>
        <w:t>ts." On August 24, 2021, the Supreme Court refused to block implementation of that order. On October 29, 2021, Secretary of Homeland Security Alejandro N. Mayorkas issued a memorandum asserting the termination of MPP, which was structured to be implemented</w:t>
      </w:r>
      <w:r>
        <w:rPr>
          <w:sz w:val="20"/>
          <w:szCs w:val="20"/>
        </w:rPr>
        <w:t xml:space="preserve"> if the decision reinstating MPP is vacated. The memorandum also provides that the Biden administration will continue to comply with the injunction requiring the reinstatement and enforcement of MPP until a final judicial decision, if any, to vacate such i</w:t>
      </w:r>
      <w:r>
        <w:rPr>
          <w:sz w:val="20"/>
          <w:szCs w:val="20"/>
        </w:rPr>
        <w:t>njunction is issued. In early December 2021, the DHS began the court-ordered re-implementation of the MPP, and on December 13, 2021, a federal appeals court rejected the Biden administration’s attempts to terminate MPP. On December 29, 2021, the Biden admi</w:t>
      </w:r>
      <w:r>
        <w:rPr>
          <w:sz w:val="20"/>
          <w:szCs w:val="20"/>
        </w:rPr>
        <w:t>nistration appealed this decision to the Supreme Court. On April 26, 2022, the Supreme Court heard arguments on MPP, and on June 30, 2022, the Supreme Court ruled that immigration law gives the federal government the discretion to end MPP. The Supreme Cour</w:t>
      </w:r>
      <w:r>
        <w:rPr>
          <w:sz w:val="20"/>
          <w:szCs w:val="20"/>
        </w:rPr>
        <w:t>t also indicated that lower courts must now determine whether issuing the memorandum asserting the termination of MPP complied with administrative law, although the Supreme Court found that the order was a proper agency action. On December 13, 2022, a fede</w:t>
      </w:r>
      <w:r>
        <w:rPr>
          <w:sz w:val="20"/>
          <w:szCs w:val="20"/>
        </w:rPr>
        <w:t>ral judge in Texas ruled that the Biden administration's attempt to end MPP was invalid, stating the Biden administration did not follow the proper administrative procedure in ending the policy. The effect of the ruling remains unclear, as Mexico has not a</w:t>
      </w:r>
      <w:r>
        <w:rPr>
          <w:sz w:val="20"/>
          <w:szCs w:val="20"/>
        </w:rPr>
        <w:t>greed to cooperate with the U.S. to reinstate such practices. The number of people apprehended by ICE could increase if the Biden administration prevails in its efforts to terminate MPP or the Mexican government declines to participate in such a practice</w:t>
      </w:r>
      <w:r>
        <w:rPr>
          <w:sz w:val="20"/>
          <w:szCs w:val="20"/>
        </w:rPr>
        <w:t>.</w:t>
      </w:r>
    </w:p>
    <w:p w:rsidR="00000000" w:rsidRDefault="006D723D">
      <w:pPr>
        <w:pStyle w:val="a3"/>
        <w:spacing w:before="240" w:beforeAutospacing="0" w:after="0" w:afterAutospacing="0"/>
        <w:jc w:val="both"/>
        <w:rPr>
          <w:sz w:val="20"/>
          <w:szCs w:val="20"/>
        </w:rPr>
      </w:pPr>
      <w:r>
        <w:rPr>
          <w:sz w:val="20"/>
          <w:szCs w:val="20"/>
        </w:rPr>
        <w:t>Federal revenues from contracts at correctional, detention, and residential reentry facilities that we operate decreased 5.3% from $1,050.7 million during 2021 to $994.7 million during 2022. The decrease in federal revenues resulted from several factors, i</w:t>
      </w:r>
      <w:r>
        <w:rPr>
          <w:sz w:val="20"/>
          <w:szCs w:val="20"/>
        </w:rPr>
        <w:t>ncluding primarily as a result of a decrease in detainees at our 3,060-bed La Palma Correctional Facility, where we transitioned from an ICE population to a population of residents from the state of Arizona, pursuant to a new management contract that comme</w:t>
      </w:r>
      <w:r>
        <w:rPr>
          <w:sz w:val="20"/>
          <w:szCs w:val="20"/>
        </w:rPr>
        <w:t>nced in April 2022. Before the new award, the La Palma facility supported the mission of ICE by caring for approximately 1,800 detainees. The new award expands and strengthens our relationship with the state of Arizona and we believe will maximize the util</w:t>
      </w:r>
      <w:r>
        <w:rPr>
          <w:sz w:val="20"/>
          <w:szCs w:val="20"/>
        </w:rPr>
        <w:t>ization of our La Palma facility, while providing ICE with the ability to continue its mission under existing contracts at alternative facilities we own and operate in the same geographic region. The transfer process at our La Palma facility was substantia</w:t>
      </w:r>
      <w:r>
        <w:rPr>
          <w:sz w:val="20"/>
          <w:szCs w:val="20"/>
        </w:rPr>
        <w:t xml:space="preserve">lly completed during the fourth quarter of 2022, as further described in </w:t>
      </w:r>
      <w:r>
        <w:rPr>
          <w:sz w:val="20"/>
          <w:szCs w:val="20"/>
        </w:rPr>
        <w:t>"</w:t>
      </w:r>
      <w:r>
        <w:rPr>
          <w:i/>
          <w:iCs/>
          <w:sz w:val="20"/>
          <w:szCs w:val="20"/>
        </w:rPr>
        <w:t>Part II, Item 7. Management's Discussion and Analysis of Financial Condition and Results of Operation</w:t>
      </w:r>
      <w:r>
        <w:rPr>
          <w:i/>
          <w:iCs/>
          <w:sz w:val="20"/>
          <w:szCs w:val="20"/>
        </w:rPr>
        <w:t>s</w:t>
      </w:r>
      <w:r>
        <w:rPr>
          <w:sz w:val="20"/>
          <w:szCs w:val="20"/>
        </w:rPr>
        <w:t>", or MD&amp;A. Federal revenues also decreased as a result of the aforementioned te</w:t>
      </w:r>
      <w:r>
        <w:rPr>
          <w:sz w:val="20"/>
          <w:szCs w:val="20"/>
        </w:rPr>
        <w:t>rmination of the contract with the BOP at the McRae Correctional Facility effective November 30, 2022. We completed the sale of the McRae facility in August 2022 to the Georgia Building Authority, and entered into an agreement to lease the facility through</w:t>
      </w:r>
      <w:r>
        <w:rPr>
          <w:sz w:val="20"/>
          <w:szCs w:val="20"/>
        </w:rPr>
        <w:t xml:space="preserve"> November 2022 to allow us to fulfill our obligations to the BOP, whic</w:t>
      </w:r>
      <w:r>
        <w:rPr>
          <w:sz w:val="20"/>
          <w:szCs w:val="20"/>
        </w:rPr>
        <w:t>h</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1</w:t>
      </w:r>
      <w:r>
        <w:rPr>
          <w:sz w:val="20"/>
          <w:szCs w:val="20"/>
        </w:rPr>
        <w:t>6</w:t>
      </w:r>
    </w:p>
    <w:p w:rsidR="00000000" w:rsidRDefault="006D723D">
      <w:pPr>
        <w:rPr>
          <w:rFonts w:eastAsia="Times New Roman"/>
        </w:rPr>
      </w:pPr>
      <w:r>
        <w:rPr>
          <w:rFonts w:eastAsia="Times New Roman"/>
        </w:rPr>
        <w:pict>
          <v:rect id="_x0000_i1040"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expired on November 30, 2022, as further discussed below. The decrease in federal revenues resulting from these factors was partially offset b</w:t>
      </w:r>
      <w:r>
        <w:rPr>
          <w:sz w:val="20"/>
          <w:szCs w:val="20"/>
        </w:rPr>
        <w:t>y higher average per diems at several of our facilities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State revenues from contracts at correctional, detention, and residential reentry facilities that we operate constituted 36%, 32%, and 33% of our total revenue during 2022, 2021, and 2020, respectiv</w:t>
      </w:r>
      <w:r>
        <w:rPr>
          <w:sz w:val="20"/>
          <w:szCs w:val="20"/>
        </w:rPr>
        <w:t>ely, and increased 11.1% from $602.1 million during 2021 to $669.2 million during 2022. The state of Tennessee generated 10% of our total revenue during 2022. State revenues increased primarily as a result of the new management contract with the state of A</w:t>
      </w:r>
      <w:r>
        <w:rPr>
          <w:sz w:val="20"/>
          <w:szCs w:val="20"/>
        </w:rPr>
        <w:t>rizona at our La Palma facility for up to 2,706 inmates, as the state transferred inmate populations from public sector facilities into our La Palma facility. We began receiving inmates from the state of Arizona in April 2022 and the transfer process was s</w:t>
      </w:r>
      <w:r>
        <w:rPr>
          <w:sz w:val="20"/>
          <w:szCs w:val="20"/>
        </w:rPr>
        <w:t>ubstantially completed in the fourth quarter of 2022, as further described in MD&amp;A. In addition, state revenues increased as a result of higher state inmate populations at other facilities, and from per diem increases under a number of our state contracts,</w:t>
      </w:r>
      <w:r>
        <w:rPr>
          <w:sz w:val="20"/>
          <w:szCs w:val="20"/>
        </w:rPr>
        <w:t xml:space="preserve"> as certain states have recognized the need to provide additional funding to address increases in the wages of our employees, as further described in MD&amp;A. The increase in state revenues was partially offset by the effect of a new lease agreement between u</w:t>
      </w:r>
      <w:r>
        <w:rPr>
          <w:sz w:val="20"/>
          <w:szCs w:val="20"/>
        </w:rPr>
        <w:t>s and the state of New Mexico at our Northwest New Mexico Correctional Center effective November 1, 2021. We previously operated the facility in our Safety segment under a contract with the state of New Mexico; however, as a result of our new lease agreeme</w:t>
      </w:r>
      <w:r>
        <w:rPr>
          <w:sz w:val="20"/>
          <w:szCs w:val="20"/>
        </w:rPr>
        <w:t>nt, the Northwest New Mexico facility is now a part of our Properties segment</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Occupancy in our correctional, detention, and reentry facilities remains depressed, and continues to reflect the impact of COVID-19, including Title 42 and other occupancy rest</w:t>
      </w:r>
      <w:r>
        <w:rPr>
          <w:sz w:val="20"/>
          <w:szCs w:val="20"/>
        </w:rPr>
        <w:t>rictions placed by several of our government partners that remained in place during 2022 for most federal facilities. We cannot predict government responses to an increase in staff or residents testing positive for COVID-19 within public and private correc</w:t>
      </w:r>
      <w:r>
        <w:rPr>
          <w:sz w:val="20"/>
          <w:szCs w:val="20"/>
        </w:rPr>
        <w:t>tional, detention and reentry facilities, nor can we predict COVID-19 related restrictions on individuals, businesses, and services that disrupt the criminal justice system. Further, we cannot predict government policies on prosecutions and legal restricti</w:t>
      </w:r>
      <w:r>
        <w:rPr>
          <w:sz w:val="20"/>
          <w:szCs w:val="20"/>
        </w:rPr>
        <w:t>ons as a result of COVID-19 that affect the number of people placed in correctional, detention, and reentry facilities</w:t>
      </w:r>
      <w:r>
        <w:rPr>
          <w:sz w:val="20"/>
          <w:szCs w:val="20"/>
        </w:rPr>
        <w:t>.</w:t>
      </w:r>
    </w:p>
    <w:p w:rsidR="00000000" w:rsidRDefault="006D723D">
      <w:pPr>
        <w:pStyle w:val="a3"/>
        <w:spacing w:before="240" w:beforeAutospacing="0" w:after="0" w:afterAutospacing="0"/>
        <w:jc w:val="both"/>
        <w:rPr>
          <w:sz w:val="20"/>
          <w:szCs w:val="20"/>
        </w:rPr>
      </w:pPr>
      <w:r>
        <w:rPr>
          <w:sz w:val="20"/>
          <w:szCs w:val="20"/>
        </w:rPr>
        <w:t>COVID-19 notwithstanding, we believe the long-term growth opportunities of our business remain attractive as government agencies conside</w:t>
      </w:r>
      <w:r>
        <w:rPr>
          <w:sz w:val="20"/>
          <w:szCs w:val="20"/>
        </w:rPr>
        <w:t>r their emergent needs (including capacity to help mitigate the spread of infectious disease), as well as the efficiency and offender programming opportunities we provide as flexible solutions to satisfy our partners' needs. We have also been in discussion</w:t>
      </w:r>
      <w:r>
        <w:rPr>
          <w:sz w:val="20"/>
          <w:szCs w:val="20"/>
        </w:rPr>
        <w:t>s with several state partners that have experienced challenges in staffing their public-sector facilities and are seeking solutions from the private sector. Further, although disrupted by the COVID-19 pandemic, several of our existing federal and state par</w:t>
      </w:r>
      <w:r>
        <w:rPr>
          <w:sz w:val="20"/>
          <w:szCs w:val="20"/>
        </w:rPr>
        <w:t>tners, as well as prospective state partners, have been experiencing growth in offender populations and overcrowded conditions, as well as an increase in violent crime. Governments are continuing to assess their need for correctional space in light of COVI</w:t>
      </w:r>
      <w:r>
        <w:rPr>
          <w:sz w:val="20"/>
          <w:szCs w:val="20"/>
        </w:rPr>
        <w:t>D-19, and several are continuing to consider alternative correctional capacity for their aged or inefficient infrastructure, or are seeking cost savings by utilizing the private sector, which could result in increased future demand for the solutions we pro</w:t>
      </w:r>
      <w:r>
        <w:rPr>
          <w:sz w:val="20"/>
          <w:szCs w:val="20"/>
        </w:rPr>
        <w:t>vide. For example, in December 2021, the state of Arizona awarded us a new contract for up to 2,706 inmates at our 3,060-bed La Palma Correctional Center in Arizona, which commenced in April 2022. We are not aware of a larger prison contract awarded to the</w:t>
      </w:r>
      <w:r>
        <w:rPr>
          <w:sz w:val="20"/>
          <w:szCs w:val="20"/>
        </w:rPr>
        <w:t xml:space="preserve"> private sector by any state in over a decade. In August 2022, we completed the sale of the 1,978-bed McRae Correctional Facility to the Georgia Building Authority in order to update its aged and inefficient public sector correctional infrastructure. We ha</w:t>
      </w:r>
      <w:r>
        <w:rPr>
          <w:sz w:val="20"/>
          <w:szCs w:val="20"/>
        </w:rPr>
        <w:t>d a management contract with the BOP at this facility, which expired on November 30, 2022. In connection with the sale, we entered into an agreement to lease the McRae facility from the Georgia Building Authority through November 30, 2022 to allow us to fu</w:t>
      </w:r>
      <w:r>
        <w:rPr>
          <w:sz w:val="20"/>
          <w:szCs w:val="20"/>
        </w:rPr>
        <w:t>lfill our obligations to the BOP. The BOP transferred the BOP inmates to alternative federal capacity prior to expiration of the contract, and the McRae facility converted to a facility owned and operated by the State of Georgia upon the termination of our</w:t>
      </w:r>
      <w:r>
        <w:rPr>
          <w:sz w:val="20"/>
          <w:szCs w:val="20"/>
        </w:rPr>
        <w:t xml:space="preserve"> lease with the Georgia Building Authority. Competing budget priorities often impede our customers' ability to construct new prison beds of their own or update their older facilities, which we believe could result in further demand for private sector priso</w:t>
      </w:r>
      <w:r>
        <w:rPr>
          <w:sz w:val="20"/>
          <w:szCs w:val="20"/>
        </w:rPr>
        <w:t>n capacity solutions in the long-term</w:t>
      </w:r>
      <w:r>
        <w:rPr>
          <w:sz w:val="20"/>
          <w:szCs w:val="20"/>
        </w:rPr>
        <w:t>.</w:t>
      </w:r>
    </w:p>
    <w:p w:rsidR="00000000" w:rsidRDefault="006D723D">
      <w:pPr>
        <w:pStyle w:val="a3"/>
        <w:spacing w:before="240" w:beforeAutospacing="0" w:after="0" w:afterAutospacing="0"/>
        <w:jc w:val="both"/>
        <w:rPr>
          <w:sz w:val="20"/>
          <w:szCs w:val="20"/>
        </w:rPr>
      </w:pPr>
      <w:r>
        <w:rPr>
          <w:sz w:val="20"/>
          <w:szCs w:val="20"/>
        </w:rPr>
        <w:t>Following our first priority of debt reduction, which may include the purchase of our outstanding debt in open market transactions, privately negotiated transactions or otherwise, we expect to allocate a substantial p</w:t>
      </w:r>
      <w:r>
        <w:rPr>
          <w:sz w:val="20"/>
          <w:szCs w:val="20"/>
        </w:rPr>
        <w:t>ortion of our free cash flow to returning capital to our shareholders and pursuing alternative growth opportunities. We believe the revocation of our REIT election and conversion to a taxable C Corporation, effective January 1, 2021, provides us with signi</w:t>
      </w:r>
      <w:r>
        <w:rPr>
          <w:sz w:val="20"/>
          <w:szCs w:val="20"/>
        </w:rPr>
        <w:t>ficantly more liquidity and financial flexibility, which enables us to reduce our reliance on the capital markets and enabled us to reduce the size of our Bank Credit Facility. We believe that we can further develop our business by, among other things</w:t>
      </w:r>
      <w:r>
        <w:rPr>
          <w:sz w:val="20"/>
          <w:szCs w:val="20"/>
        </w:rPr>
        <w:t>:</w:t>
      </w:r>
    </w:p>
    <w:p w:rsidR="00000000" w:rsidRDefault="006D723D">
      <w:pPr>
        <w:pStyle w:val="a3"/>
        <w:spacing w:before="240" w:beforeAutospacing="0" w:after="0" w:afterAutospacing="0"/>
        <w:jc w:val="center"/>
        <w:rPr>
          <w:sz w:val="20"/>
          <w:szCs w:val="20"/>
        </w:rPr>
      </w:pPr>
      <w:r>
        <w:rPr>
          <w:sz w:val="20"/>
          <w:szCs w:val="20"/>
        </w:rPr>
        <w:t>1</w:t>
      </w:r>
      <w:r>
        <w:rPr>
          <w:sz w:val="20"/>
          <w:szCs w:val="20"/>
        </w:rPr>
        <w:t>7</w:t>
      </w:r>
    </w:p>
    <w:p w:rsidR="00000000" w:rsidRDefault="006D723D">
      <w:pPr>
        <w:rPr>
          <w:rFonts w:eastAsia="Times New Roman"/>
        </w:rPr>
      </w:pPr>
      <w:r>
        <w:rPr>
          <w:rFonts w:eastAsia="Times New Roman"/>
        </w:rPr>
        <w:pict>
          <v:rect id="_x0000_i1041"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jc w:val="both"/>
        <w:divId w:val="1753042180"/>
        <w:rPr>
          <w:rFonts w:eastAsia="Times New Roman"/>
        </w:rPr>
      </w:pPr>
      <w:r>
        <w:rPr>
          <w:rFonts w:eastAsia="Times New Roman"/>
          <w:sz w:val="20"/>
          <w:szCs w:val="20"/>
        </w:rPr>
        <w:t>•</w:t>
      </w:r>
    </w:p>
    <w:p w:rsidR="00000000" w:rsidRDefault="006D723D">
      <w:pPr>
        <w:jc w:val="both"/>
        <w:divId w:val="2044137759"/>
        <w:rPr>
          <w:rFonts w:eastAsia="Times New Roman"/>
        </w:rPr>
      </w:pPr>
      <w:r>
        <w:rPr>
          <w:rFonts w:eastAsia="Times New Roman"/>
          <w:sz w:val="20"/>
          <w:szCs w:val="20"/>
        </w:rPr>
        <w:t>Maintaining and expanding our existing customer relationships and filling existing capacity within our facilities, while maintaining an adequate inventory of available capacity that we believe provides us with flexib</w:t>
      </w:r>
      <w:r>
        <w:rPr>
          <w:rFonts w:eastAsia="Times New Roman"/>
          <w:sz w:val="20"/>
          <w:szCs w:val="20"/>
        </w:rPr>
        <w:t>ility and a competitive advantage when bidding for new management contracts</w:t>
      </w:r>
      <w:r>
        <w:rPr>
          <w:rFonts w:eastAsia="Times New Roman"/>
          <w:sz w:val="20"/>
          <w:szCs w:val="20"/>
        </w:rPr>
        <w:t>;</w:t>
      </w:r>
    </w:p>
    <w:p w:rsidR="00000000" w:rsidRDefault="006D723D">
      <w:pPr>
        <w:jc w:val="both"/>
        <w:divId w:val="397091765"/>
        <w:rPr>
          <w:rFonts w:eastAsia="Times New Roman"/>
        </w:rPr>
      </w:pPr>
      <w:r>
        <w:rPr>
          <w:rFonts w:eastAsia="Times New Roman"/>
          <w:sz w:val="20"/>
          <w:szCs w:val="20"/>
        </w:rPr>
        <w:t>•</w:t>
      </w:r>
    </w:p>
    <w:p w:rsidR="00000000" w:rsidRDefault="006D723D">
      <w:pPr>
        <w:jc w:val="both"/>
        <w:divId w:val="681396380"/>
        <w:rPr>
          <w:rFonts w:eastAsia="Times New Roman"/>
        </w:rPr>
      </w:pPr>
      <w:r>
        <w:rPr>
          <w:rFonts w:eastAsia="Times New Roman"/>
          <w:sz w:val="20"/>
          <w:szCs w:val="20"/>
        </w:rPr>
        <w:t>Enhancing the terms of our existing contracts and expanding the services we provide under those contracts;</w:t>
      </w:r>
      <w:r>
        <w:rPr>
          <w:rFonts w:eastAsia="Times New Roman"/>
          <w:sz w:val="20"/>
          <w:szCs w:val="20"/>
        </w:rPr>
        <w:t xml:space="preserve"> </w:t>
      </w:r>
    </w:p>
    <w:p w:rsidR="00000000" w:rsidRDefault="006D723D">
      <w:pPr>
        <w:jc w:val="both"/>
        <w:divId w:val="1886328418"/>
        <w:rPr>
          <w:rFonts w:eastAsia="Times New Roman"/>
        </w:rPr>
      </w:pPr>
      <w:r>
        <w:rPr>
          <w:rFonts w:eastAsia="Times New Roman"/>
          <w:sz w:val="20"/>
          <w:szCs w:val="20"/>
        </w:rPr>
        <w:t>•</w:t>
      </w:r>
    </w:p>
    <w:p w:rsidR="00000000" w:rsidRDefault="006D723D">
      <w:pPr>
        <w:jc w:val="both"/>
        <w:divId w:val="1700397389"/>
        <w:rPr>
          <w:rFonts w:eastAsia="Times New Roman"/>
        </w:rPr>
      </w:pPr>
      <w:r>
        <w:rPr>
          <w:rFonts w:eastAsia="Times New Roman"/>
          <w:sz w:val="20"/>
          <w:szCs w:val="20"/>
        </w:rPr>
        <w:t>Pursuing additional opportunities to lease our facilities to govern</w:t>
      </w:r>
      <w:r>
        <w:rPr>
          <w:rFonts w:eastAsia="Times New Roman"/>
          <w:sz w:val="20"/>
          <w:szCs w:val="20"/>
        </w:rPr>
        <w:t>ment and other third-party operators in need of correctional, detention, and residential reentry capacity</w:t>
      </w:r>
      <w:r>
        <w:rPr>
          <w:rFonts w:eastAsia="Times New Roman"/>
          <w:sz w:val="20"/>
          <w:szCs w:val="20"/>
        </w:rPr>
        <w:t>;</w:t>
      </w:r>
    </w:p>
    <w:p w:rsidR="00000000" w:rsidRDefault="006D723D">
      <w:pPr>
        <w:jc w:val="both"/>
        <w:divId w:val="1330448859"/>
        <w:rPr>
          <w:rFonts w:eastAsia="Times New Roman"/>
        </w:rPr>
      </w:pPr>
      <w:r>
        <w:rPr>
          <w:rFonts w:eastAsia="Times New Roman"/>
          <w:sz w:val="20"/>
          <w:szCs w:val="20"/>
        </w:rPr>
        <w:t>•</w:t>
      </w:r>
    </w:p>
    <w:p w:rsidR="00000000" w:rsidRDefault="006D723D">
      <w:pPr>
        <w:jc w:val="both"/>
        <w:divId w:val="1009602411"/>
        <w:rPr>
          <w:rFonts w:eastAsia="Times New Roman"/>
        </w:rPr>
      </w:pPr>
      <w:r>
        <w:rPr>
          <w:rFonts w:eastAsia="Times New Roman"/>
          <w:sz w:val="20"/>
          <w:szCs w:val="20"/>
        </w:rPr>
        <w:t>Pursuing mission-critical real estate solutions for government agencies focused on corrections and detention real estate assets</w:t>
      </w:r>
      <w:r>
        <w:rPr>
          <w:rFonts w:eastAsia="Times New Roman"/>
          <w:sz w:val="20"/>
          <w:szCs w:val="20"/>
        </w:rPr>
        <w:t>;</w:t>
      </w:r>
    </w:p>
    <w:p w:rsidR="00000000" w:rsidRDefault="006D723D">
      <w:pPr>
        <w:jc w:val="both"/>
        <w:divId w:val="127170624"/>
        <w:rPr>
          <w:rFonts w:eastAsia="Times New Roman"/>
        </w:rPr>
      </w:pPr>
      <w:r>
        <w:rPr>
          <w:rFonts w:eastAsia="Times New Roman"/>
          <w:sz w:val="20"/>
          <w:szCs w:val="20"/>
        </w:rPr>
        <w:t>•</w:t>
      </w:r>
    </w:p>
    <w:p w:rsidR="00000000" w:rsidRDefault="006D723D">
      <w:pPr>
        <w:jc w:val="both"/>
        <w:divId w:val="695697097"/>
        <w:rPr>
          <w:rFonts w:eastAsia="Times New Roman"/>
        </w:rPr>
      </w:pPr>
      <w:r>
        <w:rPr>
          <w:rFonts w:eastAsia="Times New Roman"/>
          <w:sz w:val="20"/>
          <w:szCs w:val="20"/>
        </w:rPr>
        <w:t>Pursuing other asset acquisitions and business combinations through transactions with non-government third parties;</w:t>
      </w:r>
      <w:r>
        <w:rPr>
          <w:rFonts w:eastAsia="Times New Roman"/>
          <w:sz w:val="20"/>
          <w:szCs w:val="20"/>
        </w:rPr>
        <w:t xml:space="preserve"> </w:t>
      </w:r>
    </w:p>
    <w:p w:rsidR="00000000" w:rsidRDefault="006D723D">
      <w:pPr>
        <w:jc w:val="both"/>
        <w:divId w:val="1493984687"/>
        <w:rPr>
          <w:rFonts w:eastAsia="Times New Roman"/>
        </w:rPr>
      </w:pPr>
      <w:r>
        <w:rPr>
          <w:rFonts w:eastAsia="Times New Roman"/>
          <w:sz w:val="20"/>
          <w:szCs w:val="20"/>
        </w:rPr>
        <w:t>•</w:t>
      </w:r>
    </w:p>
    <w:p w:rsidR="00000000" w:rsidRDefault="006D723D">
      <w:pPr>
        <w:jc w:val="both"/>
        <w:divId w:val="1317953899"/>
        <w:rPr>
          <w:rFonts w:eastAsia="Times New Roman"/>
        </w:rPr>
      </w:pPr>
      <w:r>
        <w:rPr>
          <w:rFonts w:eastAsia="Times New Roman"/>
          <w:sz w:val="20"/>
          <w:szCs w:val="20"/>
        </w:rPr>
        <w:t>Mainta</w:t>
      </w:r>
      <w:r>
        <w:rPr>
          <w:rFonts w:eastAsia="Times New Roman"/>
          <w:sz w:val="20"/>
          <w:szCs w:val="20"/>
        </w:rPr>
        <w:t>ining and expanding our focus on community corrections and reentry programming that align with the needs of our government partners;</w:t>
      </w:r>
      <w:r>
        <w:rPr>
          <w:rFonts w:eastAsia="Times New Roman"/>
          <w:sz w:val="20"/>
          <w:szCs w:val="20"/>
        </w:rPr>
        <w:t xml:space="preserve"> </w:t>
      </w:r>
    </w:p>
    <w:p w:rsidR="00000000" w:rsidRDefault="006D723D">
      <w:pPr>
        <w:jc w:val="both"/>
        <w:divId w:val="1940093577"/>
        <w:rPr>
          <w:rFonts w:eastAsia="Times New Roman"/>
        </w:rPr>
      </w:pPr>
      <w:r>
        <w:rPr>
          <w:rFonts w:eastAsia="Times New Roman"/>
          <w:sz w:val="20"/>
          <w:szCs w:val="20"/>
        </w:rPr>
        <w:t>•</w:t>
      </w:r>
    </w:p>
    <w:p w:rsidR="00000000" w:rsidRDefault="006D723D">
      <w:pPr>
        <w:jc w:val="both"/>
        <w:divId w:val="408045863"/>
        <w:rPr>
          <w:rFonts w:eastAsia="Times New Roman"/>
        </w:rPr>
      </w:pPr>
      <w:r>
        <w:rPr>
          <w:rFonts w:eastAsia="Times New Roman"/>
          <w:sz w:val="20"/>
          <w:szCs w:val="20"/>
        </w:rPr>
        <w:t>Exploring potential opportunities to expand the scope of non-residential correctional alternative solutions we provide t</w:t>
      </w:r>
      <w:r>
        <w:rPr>
          <w:rFonts w:eastAsia="Times New Roman"/>
          <w:sz w:val="20"/>
          <w:szCs w:val="20"/>
        </w:rPr>
        <w:t>o government agencies; and</w:t>
      </w:r>
      <w:r>
        <w:rPr>
          <w:rFonts w:eastAsia="Times New Roman"/>
          <w:sz w:val="20"/>
          <w:szCs w:val="20"/>
        </w:rPr>
        <w:t xml:space="preserve"> </w:t>
      </w:r>
    </w:p>
    <w:p w:rsidR="00000000" w:rsidRDefault="006D723D">
      <w:pPr>
        <w:jc w:val="both"/>
        <w:divId w:val="1428580939"/>
        <w:rPr>
          <w:rFonts w:eastAsia="Times New Roman"/>
        </w:rPr>
      </w:pPr>
      <w:r>
        <w:rPr>
          <w:rFonts w:eastAsia="Times New Roman"/>
          <w:sz w:val="20"/>
          <w:szCs w:val="20"/>
        </w:rPr>
        <w:t>•</w:t>
      </w:r>
    </w:p>
    <w:p w:rsidR="00000000" w:rsidRDefault="006D723D">
      <w:pPr>
        <w:jc w:val="both"/>
        <w:divId w:val="381027604"/>
        <w:rPr>
          <w:rFonts w:eastAsia="Times New Roman"/>
        </w:rPr>
      </w:pPr>
      <w:r>
        <w:rPr>
          <w:rFonts w:eastAsia="Times New Roman"/>
          <w:sz w:val="20"/>
          <w:szCs w:val="20"/>
        </w:rPr>
        <w:t>Establishing relationships with new customers that have either previously not outsourced their correctional facility management needs or have utilized other private enterprises</w:t>
      </w:r>
      <w:r>
        <w:rPr>
          <w:rFonts w:eastAsia="Times New Roman"/>
          <w:sz w:val="20"/>
          <w:szCs w:val="20"/>
        </w:rPr>
        <w:t>.</w:t>
      </w:r>
    </w:p>
    <w:p w:rsidR="00000000" w:rsidRDefault="006D723D">
      <w:pPr>
        <w:pStyle w:val="a3"/>
        <w:spacing w:before="240" w:beforeAutospacing="0" w:after="0" w:afterAutospacing="0"/>
        <w:jc w:val="both"/>
        <w:rPr>
          <w:sz w:val="20"/>
          <w:szCs w:val="20"/>
        </w:rPr>
      </w:pPr>
      <w:r>
        <w:rPr>
          <w:sz w:val="20"/>
          <w:szCs w:val="20"/>
        </w:rPr>
        <w:t>We generally receive inquiries from or on behalf</w:t>
      </w:r>
      <w:r>
        <w:rPr>
          <w:sz w:val="20"/>
          <w:szCs w:val="20"/>
        </w:rPr>
        <w:t xml:space="preserve"> of government agencies that are considering outsourcing the ownership and/or management of certain facilities or that have already decided to contract with a private enterprise. When we receive such an inquiry, we determine whether there is an existing ne</w:t>
      </w:r>
      <w:r>
        <w:rPr>
          <w:sz w:val="20"/>
          <w:szCs w:val="20"/>
        </w:rPr>
        <w:t>ed for our correctional, detention, and residential reentry facilities and/or services and whether the legal and political climate in which the inquiring party operates is conducive to serious consideration of outsourcing. Based on these findings, an initi</w:t>
      </w:r>
      <w:r>
        <w:rPr>
          <w:sz w:val="20"/>
          <w:szCs w:val="20"/>
        </w:rPr>
        <w:t>al cost analysis is conducted to further determine project feasibility</w:t>
      </w:r>
      <w:r>
        <w:rPr>
          <w:sz w:val="20"/>
          <w:szCs w:val="20"/>
        </w:rPr>
        <w:t>.</w:t>
      </w:r>
    </w:p>
    <w:p w:rsidR="00000000" w:rsidRDefault="006D723D">
      <w:pPr>
        <w:pStyle w:val="a3"/>
        <w:spacing w:before="240" w:beforeAutospacing="0" w:after="0" w:afterAutospacing="0"/>
        <w:jc w:val="both"/>
        <w:rPr>
          <w:sz w:val="20"/>
          <w:szCs w:val="20"/>
        </w:rPr>
      </w:pPr>
      <w:r>
        <w:rPr>
          <w:sz w:val="20"/>
          <w:szCs w:val="20"/>
        </w:rPr>
        <w:t>Frequently, government agencies responsible for correctional, detention, and residential reentry facilities and services procure space and services through solicitations or competitive</w:t>
      </w:r>
      <w:r>
        <w:rPr>
          <w:sz w:val="20"/>
          <w:szCs w:val="20"/>
        </w:rPr>
        <w:t xml:space="preserve"> procurements. As part of our process of responding to such requests, members of our management team meet with the appropriate personnel from the agency making the request to best determine the agency's needs. If the project fits within our strategy, we su</w:t>
      </w:r>
      <w:r>
        <w:rPr>
          <w:sz w:val="20"/>
          <w:szCs w:val="20"/>
        </w:rPr>
        <w:t>bmit a written response. A typical solicitation or competitive procurement requires bidders to provide detailed information, including, but not limited to, the space and services to be provided by the bidder, its experience and qualifications, and the pric</w:t>
      </w:r>
      <w:r>
        <w:rPr>
          <w:sz w:val="20"/>
          <w:szCs w:val="20"/>
        </w:rPr>
        <w:t xml:space="preserve">e at which the bidder is willing to provide the facility and services (which services may include the purchase, renovation, improvement or expansion of an existing facility or the planning, design and construction of a new facility). The requesting agency </w:t>
      </w:r>
      <w:r>
        <w:rPr>
          <w:sz w:val="20"/>
          <w:szCs w:val="20"/>
        </w:rPr>
        <w:t>selects a provider believed to be able to provide the requested bed capacity, if needed, and most qualified to provide the requested services, and then negotiates the price and terms of the contract with that provider</w:t>
      </w:r>
      <w:r>
        <w:rPr>
          <w:sz w:val="20"/>
          <w:szCs w:val="20"/>
        </w:rPr>
        <w:t>.</w:t>
      </w:r>
      <w:r>
        <w:rPr>
          <w:sz w:val="20"/>
          <w:szCs w:val="20"/>
        </w:rPr>
        <w:t xml:space="preserve"> </w:t>
      </w:r>
    </w:p>
    <w:p w:rsidR="00000000" w:rsidRDefault="006D723D">
      <w:pPr>
        <w:pStyle w:val="a3"/>
        <w:spacing w:before="360" w:beforeAutospacing="0" w:after="0" w:afterAutospacing="0"/>
        <w:jc w:val="both"/>
        <w:rPr>
          <w:sz w:val="20"/>
          <w:szCs w:val="20"/>
        </w:rPr>
      </w:pPr>
      <w:r>
        <w:rPr>
          <w:b/>
          <w:bCs/>
          <w:sz w:val="20"/>
          <w:szCs w:val="20"/>
        </w:rPr>
        <w:t>2022 Accom</w:t>
      </w:r>
      <w:r>
        <w:rPr>
          <w:b/>
          <w:bCs/>
          <w:sz w:val="20"/>
          <w:szCs w:val="20"/>
        </w:rPr>
        <w:t>p</w:t>
      </w:r>
      <w:r>
        <w:rPr>
          <w:b/>
          <w:bCs/>
          <w:sz w:val="20"/>
          <w:szCs w:val="20"/>
        </w:rPr>
        <w:t>lishment</w:t>
      </w:r>
      <w:r>
        <w:rPr>
          <w:b/>
          <w:bCs/>
          <w:sz w:val="20"/>
          <w:szCs w:val="20"/>
        </w:rPr>
        <w:t>s</w:t>
      </w:r>
    </w:p>
    <w:p w:rsidR="00000000" w:rsidRDefault="006D723D">
      <w:pPr>
        <w:pStyle w:val="a3"/>
        <w:spacing w:before="120" w:beforeAutospacing="0" w:after="0" w:afterAutospacing="0"/>
        <w:jc w:val="both"/>
        <w:rPr>
          <w:sz w:val="20"/>
          <w:szCs w:val="20"/>
        </w:rPr>
      </w:pPr>
      <w:r>
        <w:rPr>
          <w:sz w:val="20"/>
          <w:szCs w:val="20"/>
        </w:rPr>
        <w:t>In spite of the</w:t>
      </w:r>
      <w:r>
        <w:rPr>
          <w:sz w:val="20"/>
          <w:szCs w:val="20"/>
        </w:rPr>
        <w:t xml:space="preserve"> continued challenges presented by the actions related to COVID-19 and the challenging labor market in 2022, w</w:t>
      </w:r>
      <w:r>
        <w:rPr>
          <w:sz w:val="20"/>
          <w:szCs w:val="20"/>
        </w:rPr>
        <w:t>e</w:t>
      </w:r>
      <w:r>
        <w:rPr>
          <w:b/>
          <w:bCs/>
          <w:sz w:val="20"/>
          <w:szCs w:val="20"/>
        </w:rPr>
        <w:t xml:space="preserve"> </w:t>
      </w:r>
      <w:r>
        <w:rPr>
          <w:sz w:val="20"/>
          <w:szCs w:val="20"/>
        </w:rPr>
        <w:t>renewed several significant contracts and completed numerous other transactions and milestones, including the following</w:t>
      </w:r>
      <w:r>
        <w:rPr>
          <w:sz w:val="20"/>
          <w:szCs w:val="20"/>
        </w:rPr>
        <w:t>:</w:t>
      </w:r>
    </w:p>
    <w:p w:rsidR="00000000" w:rsidRDefault="006D723D">
      <w:pPr>
        <w:pStyle w:val="a3"/>
        <w:spacing w:before="120" w:beforeAutospacing="0" w:after="0" w:afterAutospacing="0"/>
        <w:jc w:val="both"/>
        <w:rPr>
          <w:sz w:val="20"/>
          <w:szCs w:val="20"/>
        </w:rPr>
      </w:pPr>
      <w:r>
        <w:rPr>
          <w:i/>
          <w:iCs/>
          <w:sz w:val="20"/>
          <w:szCs w:val="20"/>
        </w:rPr>
        <w:t>CoreCivic Safety</w:t>
      </w:r>
      <w:r>
        <w:rPr>
          <w:i/>
          <w:iCs/>
          <w:sz w:val="20"/>
          <w:szCs w:val="20"/>
        </w:rPr>
        <w:t>:</w:t>
      </w:r>
    </w:p>
    <w:p w:rsidR="00000000" w:rsidRDefault="006D723D">
      <w:pPr>
        <w:jc w:val="both"/>
        <w:divId w:val="1118599706"/>
        <w:rPr>
          <w:rFonts w:eastAsia="Times New Roman"/>
        </w:rPr>
      </w:pPr>
      <w:r>
        <w:rPr>
          <w:rFonts w:eastAsia="Times New Roman"/>
          <w:sz w:val="20"/>
          <w:szCs w:val="20"/>
        </w:rPr>
        <w:t>•</w:t>
      </w:r>
    </w:p>
    <w:p w:rsidR="00000000" w:rsidRDefault="006D723D">
      <w:pPr>
        <w:jc w:val="both"/>
        <w:divId w:val="1702895940"/>
        <w:rPr>
          <w:rFonts w:eastAsia="Times New Roman"/>
        </w:rPr>
      </w:pPr>
      <w:r>
        <w:rPr>
          <w:rFonts w:eastAsia="Times New Roman"/>
          <w:sz w:val="20"/>
          <w:szCs w:val="20"/>
        </w:rPr>
        <w:t>Int</w:t>
      </w:r>
      <w:r>
        <w:rPr>
          <w:rFonts w:eastAsia="Times New Roman"/>
          <w:sz w:val="20"/>
          <w:szCs w:val="20"/>
        </w:rPr>
        <w:t>roduced MaxxContent as a pilot program at each of our Crossroads Correctional Center in Montana, our Lee Adjustment Center in Kentucky, our Red Rock Correctional Center in Arizona, our Trousdale Turner Correctional Center in Tennessee, and our La Palma Cor</w:t>
      </w:r>
      <w:r>
        <w:rPr>
          <w:rFonts w:eastAsia="Times New Roman"/>
          <w:sz w:val="20"/>
          <w:szCs w:val="20"/>
        </w:rPr>
        <w:t>rectional Center in Arizona. MaxxContent is a custom online Learning Management System that includes content such as life skills, mental health, financial literacy, GED preparation, communications, workforce skills, and reentry preparation, and is availabl</w:t>
      </w:r>
      <w:r>
        <w:rPr>
          <w:rFonts w:eastAsia="Times New Roman"/>
          <w:sz w:val="20"/>
          <w:szCs w:val="20"/>
        </w:rPr>
        <w:t>e to students in our facility education computer labs</w:t>
      </w:r>
      <w:r>
        <w:rPr>
          <w:rFonts w:eastAsia="Times New Roman"/>
          <w:sz w:val="20"/>
          <w:szCs w:val="20"/>
        </w:rPr>
        <w:t>.</w:t>
      </w:r>
    </w:p>
    <w:p w:rsidR="00000000" w:rsidRDefault="006D723D">
      <w:pPr>
        <w:pStyle w:val="a3"/>
        <w:spacing w:before="240" w:beforeAutospacing="0" w:after="0" w:afterAutospacing="0"/>
        <w:jc w:val="center"/>
        <w:rPr>
          <w:sz w:val="20"/>
          <w:szCs w:val="20"/>
        </w:rPr>
      </w:pPr>
      <w:r>
        <w:rPr>
          <w:sz w:val="20"/>
          <w:szCs w:val="20"/>
        </w:rPr>
        <w:t>1</w:t>
      </w:r>
      <w:r>
        <w:rPr>
          <w:sz w:val="20"/>
          <w:szCs w:val="20"/>
        </w:rPr>
        <w:t>8</w:t>
      </w:r>
    </w:p>
    <w:p w:rsidR="00000000" w:rsidRDefault="006D723D">
      <w:pPr>
        <w:rPr>
          <w:rFonts w:eastAsia="Times New Roman"/>
        </w:rPr>
      </w:pPr>
      <w:r>
        <w:rPr>
          <w:rFonts w:eastAsia="Times New Roman"/>
        </w:rPr>
        <w:pict>
          <v:rect id="_x0000_i1042"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jc w:val="both"/>
        <w:divId w:val="725908701"/>
        <w:rPr>
          <w:rFonts w:eastAsia="Times New Roman"/>
        </w:rPr>
      </w:pPr>
      <w:r>
        <w:rPr>
          <w:rFonts w:eastAsia="Times New Roman"/>
          <w:sz w:val="20"/>
          <w:szCs w:val="20"/>
        </w:rPr>
        <w:t>•</w:t>
      </w:r>
    </w:p>
    <w:p w:rsidR="00000000" w:rsidRDefault="006D723D">
      <w:pPr>
        <w:jc w:val="both"/>
        <w:divId w:val="1697652332"/>
        <w:rPr>
          <w:rFonts w:eastAsia="Times New Roman"/>
        </w:rPr>
      </w:pPr>
      <w:r>
        <w:rPr>
          <w:rFonts w:eastAsia="Times New Roman"/>
          <w:sz w:val="20"/>
          <w:szCs w:val="20"/>
        </w:rPr>
        <w:t>Partnered with Felon Education Project and introduced Felon Education as a pilot program at our Wheeler Correctional Facility in Georgia. Felon Education is a</w:t>
      </w:r>
      <w:r>
        <w:rPr>
          <w:rFonts w:eastAsia="Times New Roman"/>
          <w:sz w:val="20"/>
          <w:szCs w:val="20"/>
        </w:rPr>
        <w:t xml:space="preserve"> course that teaches inmate students how to start their own businesses. The course teaches the students how to write a business plan, obtain funding, set goals, and work through small business finances, regulations and much more.</w:t>
      </w:r>
      <w:r>
        <w:rPr>
          <w:rFonts w:eastAsia="Times New Roman"/>
          <w:sz w:val="20"/>
          <w:szCs w:val="20"/>
        </w:rPr>
        <w:t xml:space="preserve"> </w:t>
      </w:r>
    </w:p>
    <w:p w:rsidR="00000000" w:rsidRDefault="006D723D">
      <w:pPr>
        <w:jc w:val="both"/>
        <w:divId w:val="1213998315"/>
        <w:rPr>
          <w:rFonts w:eastAsia="Times New Roman"/>
        </w:rPr>
      </w:pPr>
      <w:r>
        <w:rPr>
          <w:rFonts w:eastAsia="Times New Roman"/>
          <w:sz w:val="20"/>
          <w:szCs w:val="20"/>
        </w:rPr>
        <w:t>•</w:t>
      </w:r>
    </w:p>
    <w:p w:rsidR="00000000" w:rsidRDefault="006D723D">
      <w:pPr>
        <w:jc w:val="both"/>
        <w:divId w:val="1695426348"/>
        <w:rPr>
          <w:rFonts w:eastAsia="Times New Roman"/>
        </w:rPr>
      </w:pPr>
      <w:r>
        <w:rPr>
          <w:rFonts w:eastAsia="Times New Roman"/>
          <w:sz w:val="20"/>
          <w:szCs w:val="20"/>
        </w:rPr>
        <w:t xml:space="preserve">Partnered with Pivot Technology School to pilot Pivot Tech, a technology career program, at our Jenkins Correctional Center in Georgia. Pivot Tech is a five-month "boot camp" style course taught in a live classroom with virtual instructors. Students learn </w:t>
      </w:r>
      <w:r>
        <w:rPr>
          <w:rFonts w:eastAsia="Times New Roman"/>
          <w:sz w:val="20"/>
          <w:szCs w:val="20"/>
        </w:rPr>
        <w:t>computer coding and data analytics and receive certificates that prepare them for career success upon reentry.</w:t>
      </w:r>
      <w:r>
        <w:rPr>
          <w:rFonts w:eastAsia="Times New Roman"/>
          <w:sz w:val="20"/>
          <w:szCs w:val="20"/>
        </w:rPr>
        <w:t xml:space="preserve"> </w:t>
      </w:r>
    </w:p>
    <w:p w:rsidR="00000000" w:rsidRDefault="006D723D">
      <w:pPr>
        <w:jc w:val="both"/>
        <w:divId w:val="550582639"/>
        <w:rPr>
          <w:rFonts w:eastAsia="Times New Roman"/>
        </w:rPr>
      </w:pPr>
      <w:r>
        <w:rPr>
          <w:rFonts w:eastAsia="Times New Roman"/>
          <w:sz w:val="20"/>
          <w:szCs w:val="20"/>
        </w:rPr>
        <w:t>•</w:t>
      </w:r>
    </w:p>
    <w:p w:rsidR="00000000" w:rsidRDefault="006D723D">
      <w:pPr>
        <w:jc w:val="both"/>
        <w:divId w:val="1516269133"/>
        <w:rPr>
          <w:rFonts w:eastAsia="Times New Roman"/>
        </w:rPr>
      </w:pPr>
      <w:r>
        <w:rPr>
          <w:rFonts w:eastAsia="Times New Roman"/>
          <w:sz w:val="20"/>
          <w:szCs w:val="20"/>
        </w:rPr>
        <w:t>Completed the retrofit of lighting to more energy-efficient LED lighting at all of our owned, operated, and currently occupied facilities.</w:t>
      </w:r>
      <w:r>
        <w:rPr>
          <w:rFonts w:eastAsia="Times New Roman"/>
          <w:sz w:val="20"/>
          <w:szCs w:val="20"/>
        </w:rPr>
        <w:t xml:space="preserve"> </w:t>
      </w:r>
    </w:p>
    <w:p w:rsidR="00000000" w:rsidRDefault="006D723D">
      <w:pPr>
        <w:jc w:val="both"/>
        <w:divId w:val="1438057063"/>
        <w:rPr>
          <w:rFonts w:eastAsia="Times New Roman"/>
        </w:rPr>
      </w:pPr>
      <w:r>
        <w:rPr>
          <w:rFonts w:eastAsia="Times New Roman"/>
          <w:sz w:val="20"/>
          <w:szCs w:val="20"/>
        </w:rPr>
        <w:t>•</w:t>
      </w:r>
    </w:p>
    <w:p w:rsidR="00000000" w:rsidRDefault="006D723D">
      <w:pPr>
        <w:jc w:val="both"/>
        <w:divId w:val="1974948298"/>
        <w:rPr>
          <w:rFonts w:eastAsia="Times New Roman"/>
        </w:rPr>
      </w:pPr>
      <w:r>
        <w:rPr>
          <w:rFonts w:eastAsia="Times New Roman"/>
          <w:sz w:val="20"/>
          <w:szCs w:val="20"/>
        </w:rPr>
        <w:t>Identified and purchased temporary housing facilities for employees at five of our facilities in Montana, Colorado, Oklahoma and New Mexico to remove housing barriers for our staff, resulting in improved retention under unique and challenging working and l</w:t>
      </w:r>
      <w:r>
        <w:rPr>
          <w:rFonts w:eastAsia="Times New Roman"/>
          <w:sz w:val="20"/>
          <w:szCs w:val="20"/>
        </w:rPr>
        <w:t>iving conditions. The temporary housing facilities, representing approximately 80 units, include single-family structures, structures with multiple studio apartments with common living space, and refurbished hotels.</w:t>
      </w:r>
      <w:r>
        <w:rPr>
          <w:rFonts w:eastAsia="Times New Roman"/>
          <w:sz w:val="20"/>
          <w:szCs w:val="20"/>
        </w:rPr>
        <w:t xml:space="preserve"> </w:t>
      </w:r>
    </w:p>
    <w:p w:rsidR="00000000" w:rsidRDefault="006D723D">
      <w:pPr>
        <w:jc w:val="both"/>
        <w:divId w:val="2045599125"/>
        <w:rPr>
          <w:rFonts w:eastAsia="Times New Roman"/>
        </w:rPr>
      </w:pPr>
      <w:r>
        <w:rPr>
          <w:rFonts w:eastAsia="Times New Roman"/>
          <w:sz w:val="20"/>
          <w:szCs w:val="20"/>
        </w:rPr>
        <w:t>•</w:t>
      </w:r>
    </w:p>
    <w:p w:rsidR="00000000" w:rsidRDefault="006D723D">
      <w:pPr>
        <w:jc w:val="both"/>
        <w:divId w:val="884100968"/>
        <w:rPr>
          <w:rFonts w:eastAsia="Times New Roman"/>
        </w:rPr>
      </w:pPr>
      <w:r>
        <w:rPr>
          <w:rFonts w:eastAsia="Times New Roman"/>
          <w:sz w:val="20"/>
          <w:szCs w:val="20"/>
        </w:rPr>
        <w:t>Completed the sale of the 1,978-bed M</w:t>
      </w:r>
      <w:r>
        <w:rPr>
          <w:rFonts w:eastAsia="Times New Roman"/>
          <w:sz w:val="20"/>
          <w:szCs w:val="20"/>
        </w:rPr>
        <w:t>cRae Correctional Facility to the Georgia Building Authority in order to update its aged and inefficient public sector correctional infrastructure. We sold the McRae facility for a gross sales price of $130.0 million, generating net proceeds of $129.7 mill</w:t>
      </w:r>
      <w:r>
        <w:rPr>
          <w:rFonts w:eastAsia="Times New Roman"/>
          <w:sz w:val="20"/>
          <w:szCs w:val="20"/>
        </w:rPr>
        <w:t>ion and resulting in a gain on sale of $77.5 million after transaction costs.</w:t>
      </w:r>
      <w:r>
        <w:rPr>
          <w:rFonts w:eastAsia="Times New Roman"/>
          <w:sz w:val="20"/>
          <w:szCs w:val="20"/>
        </w:rPr>
        <w:t xml:space="preserve"> </w:t>
      </w:r>
    </w:p>
    <w:p w:rsidR="00000000" w:rsidRDefault="006D723D">
      <w:pPr>
        <w:jc w:val="both"/>
        <w:divId w:val="528957077"/>
        <w:rPr>
          <w:rFonts w:eastAsia="Times New Roman"/>
        </w:rPr>
      </w:pPr>
      <w:r>
        <w:rPr>
          <w:rFonts w:eastAsia="Times New Roman"/>
          <w:sz w:val="20"/>
          <w:szCs w:val="20"/>
        </w:rPr>
        <w:t>•</w:t>
      </w:r>
    </w:p>
    <w:p w:rsidR="00000000" w:rsidRDefault="006D723D">
      <w:pPr>
        <w:jc w:val="both"/>
        <w:divId w:val="1234973757"/>
        <w:rPr>
          <w:rFonts w:eastAsia="Times New Roman"/>
        </w:rPr>
      </w:pPr>
      <w:r>
        <w:rPr>
          <w:rFonts w:eastAsia="Times New Roman"/>
          <w:sz w:val="20"/>
          <w:szCs w:val="20"/>
        </w:rPr>
        <w:t>Substantially completed the transition of populations at our 3,060-bed La Palma Correctional Center in Arizona from an ICE population to a population of residents from the sta</w:t>
      </w:r>
      <w:r>
        <w:rPr>
          <w:rFonts w:eastAsia="Times New Roman"/>
          <w:sz w:val="20"/>
          <w:szCs w:val="20"/>
        </w:rPr>
        <w:t>te of Arizona. The new management contract with the state of Arizona commenced in April 2022. The new contract from Arizona is for up to 2,706 inmates, allowing the state to close an outdated public-sector prison and transfer populations from multiple othe</w:t>
      </w:r>
      <w:r>
        <w:rPr>
          <w:rFonts w:eastAsia="Times New Roman"/>
          <w:sz w:val="20"/>
          <w:szCs w:val="20"/>
        </w:rPr>
        <w:t>r public-sector prisons to the La Palma facility.</w:t>
      </w:r>
      <w:r>
        <w:rPr>
          <w:rFonts w:eastAsia="Times New Roman"/>
          <w:sz w:val="20"/>
          <w:szCs w:val="20"/>
        </w:rPr>
        <w:t xml:space="preserve"> </w:t>
      </w:r>
    </w:p>
    <w:p w:rsidR="00000000" w:rsidRDefault="006D723D">
      <w:pPr>
        <w:jc w:val="both"/>
        <w:divId w:val="257107394"/>
        <w:rPr>
          <w:rFonts w:eastAsia="Times New Roman"/>
        </w:rPr>
      </w:pPr>
      <w:r>
        <w:rPr>
          <w:rFonts w:eastAsia="Times New Roman"/>
          <w:sz w:val="20"/>
          <w:szCs w:val="20"/>
        </w:rPr>
        <w:t>•</w:t>
      </w:r>
    </w:p>
    <w:p w:rsidR="00000000" w:rsidRDefault="006D723D">
      <w:pPr>
        <w:jc w:val="both"/>
        <w:divId w:val="4981480"/>
        <w:rPr>
          <w:rFonts w:eastAsia="Times New Roman"/>
        </w:rPr>
      </w:pPr>
      <w:r>
        <w:rPr>
          <w:rFonts w:eastAsia="Times New Roman"/>
          <w:sz w:val="20"/>
          <w:szCs w:val="20"/>
        </w:rPr>
        <w:t>Renewed 8 of the 9 management contracts scheduled to expire during 2022.</w:t>
      </w:r>
      <w:r>
        <w:rPr>
          <w:rFonts w:eastAsia="Times New Roman"/>
          <w:sz w:val="20"/>
          <w:szCs w:val="20"/>
        </w:rPr>
        <w:t xml:space="preserve"> </w:t>
      </w:r>
    </w:p>
    <w:p w:rsidR="00000000" w:rsidRDefault="006D723D">
      <w:pPr>
        <w:jc w:val="both"/>
        <w:divId w:val="620455690"/>
        <w:rPr>
          <w:rFonts w:eastAsia="Times New Roman"/>
        </w:rPr>
      </w:pPr>
      <w:r>
        <w:rPr>
          <w:rFonts w:eastAsia="Times New Roman"/>
          <w:sz w:val="20"/>
          <w:szCs w:val="20"/>
        </w:rPr>
        <w:t>•</w:t>
      </w:r>
    </w:p>
    <w:p w:rsidR="00000000" w:rsidRDefault="006D723D">
      <w:pPr>
        <w:jc w:val="both"/>
        <w:divId w:val="601911705"/>
        <w:rPr>
          <w:rFonts w:eastAsia="Times New Roman"/>
        </w:rPr>
      </w:pPr>
      <w:r>
        <w:rPr>
          <w:rFonts w:eastAsia="Times New Roman"/>
          <w:sz w:val="20"/>
          <w:szCs w:val="20"/>
        </w:rPr>
        <w:t>Our warden at the Lake Erie Correctional Institution was selected as "Warden of the Year" by the Ohio Department of Rehabilitat</w:t>
      </w:r>
      <w:r>
        <w:rPr>
          <w:rFonts w:eastAsia="Times New Roman"/>
          <w:sz w:val="20"/>
          <w:szCs w:val="20"/>
        </w:rPr>
        <w:t>ion &amp; Correction for his achievements in workforce development, improvements in correctional outcomes, and enhancing the overall quality of life for the incarcerated population</w:t>
      </w:r>
      <w:r>
        <w:rPr>
          <w:rFonts w:eastAsia="Times New Roman"/>
          <w:sz w:val="20"/>
          <w:szCs w:val="20"/>
        </w:rPr>
        <w:t>.</w:t>
      </w:r>
    </w:p>
    <w:p w:rsidR="00000000" w:rsidRDefault="006D723D">
      <w:pPr>
        <w:pStyle w:val="a3"/>
        <w:spacing w:before="120" w:beforeAutospacing="0" w:after="0" w:afterAutospacing="0"/>
        <w:jc w:val="both"/>
        <w:rPr>
          <w:sz w:val="20"/>
          <w:szCs w:val="20"/>
        </w:rPr>
      </w:pPr>
      <w:r>
        <w:rPr>
          <w:i/>
          <w:iCs/>
          <w:sz w:val="20"/>
          <w:szCs w:val="20"/>
        </w:rPr>
        <w:t>CoreCivic Community</w:t>
      </w:r>
      <w:r>
        <w:rPr>
          <w:i/>
          <w:iCs/>
          <w:sz w:val="20"/>
          <w:szCs w:val="20"/>
        </w:rPr>
        <w:t>:</w:t>
      </w:r>
    </w:p>
    <w:p w:rsidR="00000000" w:rsidRDefault="006D723D">
      <w:pPr>
        <w:jc w:val="both"/>
        <w:divId w:val="670180682"/>
        <w:rPr>
          <w:rFonts w:eastAsia="Times New Roman"/>
        </w:rPr>
      </w:pPr>
      <w:r>
        <w:rPr>
          <w:rFonts w:eastAsia="Times New Roman"/>
          <w:sz w:val="20"/>
          <w:szCs w:val="20"/>
        </w:rPr>
        <w:t>•</w:t>
      </w:r>
    </w:p>
    <w:p w:rsidR="00000000" w:rsidRDefault="006D723D">
      <w:pPr>
        <w:jc w:val="both"/>
        <w:divId w:val="439112084"/>
        <w:rPr>
          <w:rFonts w:eastAsia="Times New Roman"/>
        </w:rPr>
      </w:pPr>
      <w:r>
        <w:rPr>
          <w:rFonts w:eastAsia="Times New Roman"/>
          <w:sz w:val="20"/>
          <w:szCs w:val="20"/>
        </w:rPr>
        <w:t>Partnered with a financial institution to conduct class</w:t>
      </w:r>
      <w:r>
        <w:rPr>
          <w:rFonts w:eastAsia="Times New Roman"/>
          <w:sz w:val="20"/>
          <w:szCs w:val="20"/>
        </w:rPr>
        <w:t>es with residents in our Colorado facilities on financial wellness, including the importance of having a savings account, the importance of, and how to establish, credit, and how to establish a bank accoun</w:t>
      </w:r>
      <w:r>
        <w:rPr>
          <w:rFonts w:eastAsia="Times New Roman"/>
          <w:sz w:val="20"/>
          <w:szCs w:val="20"/>
        </w:rPr>
        <w:t>t</w:t>
      </w:r>
      <w:r>
        <w:rPr>
          <w:rFonts w:eastAsia="Times New Roman"/>
          <w:sz w:val="20"/>
          <w:szCs w:val="20"/>
        </w:rPr>
        <w:t>.</w:t>
      </w:r>
    </w:p>
    <w:p w:rsidR="00000000" w:rsidRDefault="006D723D">
      <w:pPr>
        <w:jc w:val="both"/>
        <w:divId w:val="1966736888"/>
        <w:rPr>
          <w:rFonts w:eastAsia="Times New Roman"/>
        </w:rPr>
      </w:pPr>
      <w:r>
        <w:rPr>
          <w:rFonts w:eastAsia="Times New Roman"/>
          <w:sz w:val="20"/>
          <w:szCs w:val="20"/>
        </w:rPr>
        <w:t>•</w:t>
      </w:r>
    </w:p>
    <w:p w:rsidR="00000000" w:rsidRDefault="006D723D">
      <w:pPr>
        <w:jc w:val="both"/>
        <w:divId w:val="597566876"/>
        <w:rPr>
          <w:rFonts w:eastAsia="Times New Roman"/>
        </w:rPr>
      </w:pPr>
      <w:r>
        <w:rPr>
          <w:rFonts w:eastAsia="Times New Roman"/>
          <w:sz w:val="20"/>
          <w:szCs w:val="20"/>
        </w:rPr>
        <w:t>Awarded "Outstanding Professional Achievements</w:t>
      </w:r>
      <w:r>
        <w:rPr>
          <w:rFonts w:eastAsia="Times New Roman"/>
          <w:sz w:val="20"/>
          <w:szCs w:val="20"/>
        </w:rPr>
        <w:t xml:space="preserve"> and Contribution to Travis County Justice Planning Workforce Development" at our Austin Transitional Center in Texas. This award recognizes the staff at the Austin Transitional facility for their efforts in working with reentry services within their count</w:t>
      </w:r>
      <w:r>
        <w:rPr>
          <w:rFonts w:eastAsia="Times New Roman"/>
          <w:sz w:val="20"/>
          <w:szCs w:val="20"/>
        </w:rPr>
        <w:t>y and was a result of the staff's commitment to networking and providing employment opportunities and community resources to the residents in their care.</w:t>
      </w:r>
      <w:r>
        <w:rPr>
          <w:rFonts w:eastAsia="Times New Roman"/>
          <w:sz w:val="20"/>
          <w:szCs w:val="20"/>
        </w:rPr>
        <w:t xml:space="preserve"> </w:t>
      </w:r>
    </w:p>
    <w:p w:rsidR="00000000" w:rsidRDefault="006D723D">
      <w:pPr>
        <w:jc w:val="both"/>
        <w:divId w:val="2035033082"/>
        <w:rPr>
          <w:rFonts w:eastAsia="Times New Roman"/>
        </w:rPr>
      </w:pPr>
      <w:r>
        <w:rPr>
          <w:rFonts w:eastAsia="Times New Roman"/>
          <w:sz w:val="20"/>
          <w:szCs w:val="20"/>
        </w:rPr>
        <w:t>•</w:t>
      </w:r>
    </w:p>
    <w:p w:rsidR="00000000" w:rsidRDefault="006D723D">
      <w:pPr>
        <w:jc w:val="both"/>
        <w:divId w:val="170998494"/>
        <w:rPr>
          <w:rFonts w:eastAsia="Times New Roman"/>
        </w:rPr>
      </w:pPr>
      <w:r>
        <w:rPr>
          <w:rFonts w:eastAsia="Times New Roman"/>
          <w:sz w:val="20"/>
          <w:szCs w:val="20"/>
        </w:rPr>
        <w:t>Completed the sales of two of our idled facilities, the Oklahoma City Transitional Center and Ulste</w:t>
      </w:r>
      <w:r>
        <w:rPr>
          <w:rFonts w:eastAsia="Times New Roman"/>
          <w:sz w:val="20"/>
          <w:szCs w:val="20"/>
        </w:rPr>
        <w:t>r Facility, and the sale of our under-utilized Fox Facility and Training Center, generating aggregate net sales proceeds of $10.2 million</w:t>
      </w:r>
      <w:r>
        <w:rPr>
          <w:rFonts w:eastAsia="Times New Roman"/>
          <w:sz w:val="20"/>
          <w:szCs w:val="20"/>
        </w:rPr>
        <w:t>.</w:t>
      </w:r>
    </w:p>
    <w:p w:rsidR="00000000" w:rsidRDefault="006D723D">
      <w:pPr>
        <w:jc w:val="both"/>
        <w:divId w:val="1114668037"/>
        <w:rPr>
          <w:rFonts w:eastAsia="Times New Roman"/>
        </w:rPr>
      </w:pPr>
      <w:r>
        <w:rPr>
          <w:rFonts w:eastAsia="Times New Roman"/>
          <w:sz w:val="20"/>
          <w:szCs w:val="20"/>
        </w:rPr>
        <w:t>•</w:t>
      </w:r>
    </w:p>
    <w:p w:rsidR="00000000" w:rsidRDefault="006D723D">
      <w:pPr>
        <w:jc w:val="both"/>
        <w:divId w:val="1144158181"/>
        <w:rPr>
          <w:rFonts w:eastAsia="Times New Roman"/>
        </w:rPr>
      </w:pPr>
      <w:r>
        <w:rPr>
          <w:rFonts w:eastAsia="Times New Roman"/>
          <w:sz w:val="20"/>
          <w:szCs w:val="20"/>
        </w:rPr>
        <w:t>Renewed all of the 13 management contracts scheduled to expire during 2022.</w:t>
      </w:r>
      <w:r>
        <w:rPr>
          <w:rFonts w:eastAsia="Times New Roman"/>
          <w:sz w:val="20"/>
          <w:szCs w:val="20"/>
        </w:rPr>
        <w:t xml:space="preserve"> </w:t>
      </w:r>
    </w:p>
    <w:p w:rsidR="00000000" w:rsidRDefault="006D723D">
      <w:pPr>
        <w:pStyle w:val="a3"/>
        <w:spacing w:before="240" w:beforeAutospacing="0" w:after="0" w:afterAutospacing="0"/>
        <w:jc w:val="center"/>
        <w:rPr>
          <w:sz w:val="20"/>
          <w:szCs w:val="20"/>
        </w:rPr>
      </w:pPr>
      <w:r>
        <w:rPr>
          <w:sz w:val="20"/>
          <w:szCs w:val="20"/>
        </w:rPr>
        <w:t>1</w:t>
      </w:r>
      <w:r>
        <w:rPr>
          <w:sz w:val="20"/>
          <w:szCs w:val="20"/>
        </w:rPr>
        <w:t>9</w:t>
      </w:r>
    </w:p>
    <w:p w:rsidR="00000000" w:rsidRDefault="006D723D">
      <w:pPr>
        <w:rPr>
          <w:rFonts w:eastAsia="Times New Roman"/>
        </w:rPr>
      </w:pPr>
      <w:r>
        <w:rPr>
          <w:rFonts w:eastAsia="Times New Roman"/>
        </w:rPr>
        <w:pict>
          <v:rect id="_x0000_i1043"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120" w:beforeAutospacing="0" w:after="0" w:afterAutospacing="0"/>
        <w:jc w:val="both"/>
        <w:rPr>
          <w:sz w:val="20"/>
          <w:szCs w:val="20"/>
        </w:rPr>
      </w:pPr>
      <w:r>
        <w:rPr>
          <w:i/>
          <w:iCs/>
          <w:sz w:val="20"/>
          <w:szCs w:val="20"/>
        </w:rPr>
        <w:t>CoreCivic Properties</w:t>
      </w:r>
      <w:r>
        <w:rPr>
          <w:i/>
          <w:iCs/>
          <w:sz w:val="20"/>
          <w:szCs w:val="20"/>
        </w:rPr>
        <w:t>:</w:t>
      </w:r>
    </w:p>
    <w:p w:rsidR="00000000" w:rsidRDefault="006D723D">
      <w:pPr>
        <w:jc w:val="both"/>
        <w:divId w:val="56589926"/>
        <w:rPr>
          <w:rFonts w:eastAsia="Times New Roman"/>
        </w:rPr>
      </w:pPr>
      <w:r>
        <w:rPr>
          <w:rFonts w:eastAsia="Times New Roman"/>
          <w:sz w:val="20"/>
          <w:szCs w:val="20"/>
        </w:rPr>
        <w:t>•</w:t>
      </w:r>
    </w:p>
    <w:p w:rsidR="00000000" w:rsidRDefault="006D723D">
      <w:pPr>
        <w:jc w:val="both"/>
        <w:divId w:val="2125616548"/>
        <w:rPr>
          <w:rFonts w:eastAsia="Times New Roman"/>
        </w:rPr>
      </w:pPr>
      <w:r>
        <w:rPr>
          <w:rFonts w:eastAsia="Times New Roman"/>
          <w:sz w:val="20"/>
          <w:szCs w:val="20"/>
        </w:rPr>
        <w:t>Procured a 100% renewable electricity supply for our California City Correctional Center in California</w:t>
      </w:r>
      <w:r>
        <w:rPr>
          <w:rFonts w:eastAsia="Times New Roman"/>
          <w:sz w:val="20"/>
          <w:szCs w:val="20"/>
        </w:rPr>
        <w:t>.</w:t>
      </w:r>
    </w:p>
    <w:p w:rsidR="00000000" w:rsidRDefault="006D723D">
      <w:pPr>
        <w:jc w:val="both"/>
        <w:divId w:val="778916697"/>
        <w:rPr>
          <w:rFonts w:eastAsia="Times New Roman"/>
        </w:rPr>
      </w:pPr>
      <w:r>
        <w:rPr>
          <w:rFonts w:eastAsia="Times New Roman"/>
          <w:sz w:val="20"/>
          <w:szCs w:val="20"/>
        </w:rPr>
        <w:t>•</w:t>
      </w:r>
    </w:p>
    <w:p w:rsidR="00000000" w:rsidRDefault="006D723D">
      <w:pPr>
        <w:jc w:val="both"/>
        <w:divId w:val="1075585745"/>
        <w:rPr>
          <w:rFonts w:eastAsia="Times New Roman"/>
        </w:rPr>
      </w:pPr>
      <w:r>
        <w:rPr>
          <w:rFonts w:eastAsia="Times New Roman"/>
          <w:sz w:val="20"/>
          <w:szCs w:val="20"/>
        </w:rPr>
        <w:t>Completed the sale of our Stockton Female Community Corrections Facility and the sale of our Long Beach Community Corrections Center, both located in California, in a single transaction generating net sales proceeds of $10.9 million</w:t>
      </w:r>
      <w:r>
        <w:rPr>
          <w:rFonts w:eastAsia="Times New Roman"/>
          <w:sz w:val="20"/>
          <w:szCs w:val="20"/>
        </w:rPr>
        <w:t>.</w:t>
      </w:r>
    </w:p>
    <w:p w:rsidR="00000000" w:rsidRDefault="006D723D">
      <w:pPr>
        <w:pStyle w:val="a3"/>
        <w:spacing w:before="120" w:beforeAutospacing="0" w:after="0" w:afterAutospacing="0"/>
        <w:jc w:val="both"/>
        <w:rPr>
          <w:sz w:val="20"/>
          <w:szCs w:val="20"/>
        </w:rPr>
      </w:pPr>
      <w:r>
        <w:rPr>
          <w:i/>
          <w:iCs/>
          <w:sz w:val="20"/>
          <w:szCs w:val="20"/>
        </w:rPr>
        <w:t>Corporate and Other</w:t>
      </w:r>
      <w:r>
        <w:rPr>
          <w:i/>
          <w:iCs/>
          <w:sz w:val="20"/>
          <w:szCs w:val="20"/>
        </w:rPr>
        <w:t>:</w:t>
      </w:r>
    </w:p>
    <w:p w:rsidR="00000000" w:rsidRDefault="006D723D">
      <w:pPr>
        <w:jc w:val="both"/>
        <w:divId w:val="571045851"/>
        <w:rPr>
          <w:rFonts w:eastAsia="Times New Roman"/>
        </w:rPr>
      </w:pPr>
      <w:r>
        <w:rPr>
          <w:rFonts w:eastAsia="Times New Roman"/>
          <w:sz w:val="20"/>
          <w:szCs w:val="20"/>
        </w:rPr>
        <w:t>•</w:t>
      </w:r>
    </w:p>
    <w:p w:rsidR="00000000" w:rsidRDefault="006D723D">
      <w:pPr>
        <w:jc w:val="both"/>
        <w:divId w:val="317271598"/>
        <w:rPr>
          <w:rFonts w:eastAsia="Times New Roman"/>
        </w:rPr>
      </w:pPr>
      <w:r>
        <w:rPr>
          <w:rFonts w:eastAsia="Times New Roman"/>
          <w:sz w:val="20"/>
          <w:szCs w:val="20"/>
        </w:rPr>
        <w:t>Entered into a Third Amended and Restated Credit Agreement, or the New Bank Credit Facility, in an aggregate principal amount of $350.0 million, consisting of a $100.0 million term loan, or the New Term Loan A, and a revolving credit facility with a borro</w:t>
      </w:r>
      <w:r>
        <w:rPr>
          <w:rFonts w:eastAsia="Times New Roman"/>
          <w:sz w:val="20"/>
          <w:szCs w:val="20"/>
        </w:rPr>
        <w:t>wing capacity of $250.0 million, or the New Revolving Credit Facility. The New Bank Credit Facility extends the maturity to May 2026 from the April 2023 maturity under the Previous Bank Credit Facility. The New Bank Credit Facility and the Previous Bank Cr</w:t>
      </w:r>
      <w:r>
        <w:rPr>
          <w:rFonts w:eastAsia="Times New Roman"/>
          <w:sz w:val="20"/>
          <w:szCs w:val="20"/>
        </w:rPr>
        <w:t>edit Facility are together referred to herein as the Bank Credit Facility</w:t>
      </w:r>
      <w:r>
        <w:rPr>
          <w:rFonts w:eastAsia="Times New Roman"/>
          <w:sz w:val="20"/>
          <w:szCs w:val="20"/>
        </w:rPr>
        <w:t>.</w:t>
      </w:r>
    </w:p>
    <w:p w:rsidR="00000000" w:rsidRDefault="006D723D">
      <w:pPr>
        <w:jc w:val="both"/>
        <w:divId w:val="1764178793"/>
        <w:rPr>
          <w:rFonts w:eastAsia="Times New Roman"/>
        </w:rPr>
      </w:pPr>
      <w:r>
        <w:rPr>
          <w:rFonts w:eastAsia="Times New Roman"/>
          <w:sz w:val="20"/>
          <w:szCs w:val="20"/>
        </w:rPr>
        <w:t>•</w:t>
      </w:r>
    </w:p>
    <w:p w:rsidR="00000000" w:rsidRDefault="006D723D">
      <w:pPr>
        <w:jc w:val="both"/>
        <w:divId w:val="1240755330"/>
        <w:rPr>
          <w:rFonts w:eastAsia="Times New Roman"/>
        </w:rPr>
      </w:pPr>
      <w:r>
        <w:rPr>
          <w:rFonts w:eastAsia="Times New Roman"/>
          <w:sz w:val="20"/>
          <w:szCs w:val="20"/>
        </w:rPr>
        <w:t>Paid-down our Term Loan A under the Previous Bank Credit Facility, amounting to $167.5 million at the time, upon entering into the New Bank Credit Facility</w:t>
      </w:r>
      <w:r>
        <w:rPr>
          <w:rFonts w:eastAsia="Times New Roman"/>
          <w:sz w:val="20"/>
          <w:szCs w:val="20"/>
        </w:rPr>
        <w:t>.</w:t>
      </w:r>
    </w:p>
    <w:p w:rsidR="00000000" w:rsidRDefault="006D723D">
      <w:pPr>
        <w:jc w:val="both"/>
        <w:divId w:val="1770814834"/>
        <w:rPr>
          <w:rFonts w:eastAsia="Times New Roman"/>
        </w:rPr>
      </w:pPr>
      <w:r>
        <w:rPr>
          <w:rFonts w:eastAsia="Times New Roman"/>
          <w:sz w:val="20"/>
          <w:szCs w:val="20"/>
        </w:rPr>
        <w:t>•</w:t>
      </w:r>
    </w:p>
    <w:p w:rsidR="00000000" w:rsidRDefault="006D723D">
      <w:pPr>
        <w:jc w:val="both"/>
        <w:divId w:val="1001734285"/>
        <w:rPr>
          <w:rFonts w:eastAsia="Times New Roman"/>
        </w:rPr>
      </w:pPr>
      <w:r>
        <w:rPr>
          <w:rFonts w:eastAsia="Times New Roman"/>
          <w:sz w:val="20"/>
          <w:szCs w:val="20"/>
        </w:rPr>
        <w:t>Voluntarily repaid i</w:t>
      </w:r>
      <w:r>
        <w:rPr>
          <w:rFonts w:eastAsia="Times New Roman"/>
          <w:sz w:val="20"/>
          <w:szCs w:val="20"/>
        </w:rPr>
        <w:t>n full the outstanding principal balance under our Term Loan B, amounting to $124.1 million at the time, and satisfied all of our outstanding obligations under the Term Loan B credit agreement.</w:t>
      </w:r>
      <w:r>
        <w:rPr>
          <w:rFonts w:eastAsia="Times New Roman"/>
          <w:sz w:val="20"/>
          <w:szCs w:val="20"/>
        </w:rPr>
        <w:t xml:space="preserve"> </w:t>
      </w:r>
    </w:p>
    <w:p w:rsidR="00000000" w:rsidRDefault="006D723D">
      <w:pPr>
        <w:jc w:val="both"/>
        <w:divId w:val="138500654"/>
        <w:rPr>
          <w:rFonts w:eastAsia="Times New Roman"/>
        </w:rPr>
      </w:pPr>
      <w:r>
        <w:rPr>
          <w:rFonts w:eastAsia="Times New Roman"/>
          <w:sz w:val="20"/>
          <w:szCs w:val="20"/>
        </w:rPr>
        <w:t>•</w:t>
      </w:r>
    </w:p>
    <w:p w:rsidR="00000000" w:rsidRDefault="006D723D">
      <w:pPr>
        <w:jc w:val="both"/>
        <w:divId w:val="694885568"/>
        <w:rPr>
          <w:rFonts w:eastAsia="Times New Roman"/>
        </w:rPr>
      </w:pPr>
      <w:r>
        <w:rPr>
          <w:rFonts w:eastAsia="Times New Roman"/>
          <w:sz w:val="20"/>
          <w:szCs w:val="20"/>
        </w:rPr>
        <w:t>Purchased $19.9 million of our 4.625% senior unsecured note</w:t>
      </w:r>
      <w:r>
        <w:rPr>
          <w:rFonts w:eastAsia="Times New Roman"/>
          <w:sz w:val="20"/>
          <w:szCs w:val="20"/>
        </w:rPr>
        <w:t>s with a maturity date of May 2023 and $60.9 million of our 8.25% senior unsecured notes with a maturity date of April 2026 at a weighted average purchase price approximately equal to par in open market purchases.</w:t>
      </w:r>
      <w:r>
        <w:rPr>
          <w:rFonts w:eastAsia="Times New Roman"/>
          <w:sz w:val="20"/>
          <w:szCs w:val="20"/>
        </w:rPr>
        <w:t xml:space="preserve"> </w:t>
      </w:r>
    </w:p>
    <w:p w:rsidR="00000000" w:rsidRDefault="006D723D">
      <w:pPr>
        <w:jc w:val="both"/>
        <w:divId w:val="1566406160"/>
        <w:rPr>
          <w:rFonts w:eastAsia="Times New Roman"/>
        </w:rPr>
      </w:pPr>
      <w:r>
        <w:rPr>
          <w:rFonts w:eastAsia="Times New Roman"/>
          <w:sz w:val="20"/>
          <w:szCs w:val="20"/>
        </w:rPr>
        <w:t>•</w:t>
      </w:r>
    </w:p>
    <w:p w:rsidR="00000000" w:rsidRDefault="006D723D">
      <w:pPr>
        <w:jc w:val="both"/>
        <w:divId w:val="930355948"/>
        <w:rPr>
          <w:rFonts w:eastAsia="Times New Roman"/>
        </w:rPr>
      </w:pPr>
      <w:r>
        <w:rPr>
          <w:rFonts w:eastAsia="Times New Roman"/>
          <w:sz w:val="20"/>
          <w:szCs w:val="20"/>
        </w:rPr>
        <w:t xml:space="preserve">Provided notice of early redemption of </w:t>
      </w:r>
      <w:r>
        <w:rPr>
          <w:rFonts w:eastAsia="Times New Roman"/>
          <w:sz w:val="20"/>
          <w:szCs w:val="20"/>
        </w:rPr>
        <w:t>our 4.625% senior unsecured notes with a maturity date of May 2023, and repaid in full the outstanding principal balance of such notes, amounting to $153.8 million, on February 1, 2023</w:t>
      </w:r>
      <w:r>
        <w:rPr>
          <w:rFonts w:eastAsia="Times New Roman"/>
          <w:sz w:val="20"/>
          <w:szCs w:val="20"/>
        </w:rPr>
        <w:t>.</w:t>
      </w:r>
    </w:p>
    <w:p w:rsidR="00000000" w:rsidRDefault="006D723D">
      <w:pPr>
        <w:jc w:val="both"/>
        <w:divId w:val="23944203"/>
        <w:rPr>
          <w:rFonts w:eastAsia="Times New Roman"/>
        </w:rPr>
      </w:pPr>
      <w:r>
        <w:rPr>
          <w:rFonts w:eastAsia="Times New Roman"/>
          <w:sz w:val="20"/>
          <w:szCs w:val="20"/>
        </w:rPr>
        <w:t>•</w:t>
      </w:r>
    </w:p>
    <w:p w:rsidR="00000000" w:rsidRDefault="006D723D">
      <w:pPr>
        <w:jc w:val="both"/>
        <w:divId w:val="2053457788"/>
        <w:rPr>
          <w:rFonts w:eastAsia="Times New Roman"/>
        </w:rPr>
      </w:pPr>
      <w:r>
        <w:rPr>
          <w:rFonts w:eastAsia="Times New Roman"/>
          <w:sz w:val="20"/>
          <w:szCs w:val="20"/>
        </w:rPr>
        <w:t>Approved a share repurchase program to repurchase up to $225.0 milli</w:t>
      </w:r>
      <w:r>
        <w:rPr>
          <w:rFonts w:eastAsia="Times New Roman"/>
          <w:sz w:val="20"/>
          <w:szCs w:val="20"/>
        </w:rPr>
        <w:t>on of our common stock. During 2022, we repurchased a total of 6.6 million common shares at an aggregate cost of approximately $74.5 million</w:t>
      </w:r>
      <w:r>
        <w:rPr>
          <w:rFonts w:eastAsia="Times New Roman"/>
          <w:sz w:val="20"/>
          <w:szCs w:val="20"/>
        </w:rPr>
        <w:t>.</w:t>
      </w:r>
    </w:p>
    <w:p w:rsidR="00000000" w:rsidRDefault="006D723D">
      <w:pPr>
        <w:jc w:val="both"/>
        <w:divId w:val="1441029517"/>
        <w:rPr>
          <w:rFonts w:eastAsia="Times New Roman"/>
        </w:rPr>
      </w:pPr>
      <w:r>
        <w:rPr>
          <w:rFonts w:eastAsia="Times New Roman"/>
          <w:sz w:val="20"/>
          <w:szCs w:val="20"/>
        </w:rPr>
        <w:t>•</w:t>
      </w:r>
    </w:p>
    <w:p w:rsidR="00000000" w:rsidRDefault="006D723D">
      <w:pPr>
        <w:jc w:val="both"/>
        <w:divId w:val="982809317"/>
        <w:rPr>
          <w:rFonts w:eastAsia="Times New Roman"/>
        </w:rPr>
      </w:pPr>
      <w:r>
        <w:rPr>
          <w:rFonts w:eastAsia="Times New Roman"/>
          <w:sz w:val="20"/>
          <w:szCs w:val="20"/>
        </w:rPr>
        <w:t>Issued our fourth Environmental, Social and Governance, or ESG, report that summarizes our impacts and aspiratio</w:t>
      </w:r>
      <w:r>
        <w:rPr>
          <w:rFonts w:eastAsia="Times New Roman"/>
          <w:sz w:val="20"/>
          <w:szCs w:val="20"/>
        </w:rPr>
        <w:t>nal goals across environmental, social, and governance topics. The report details our commitment to reducing the national recidivism crisis through evidence-based practice in our reentry programs and covers progress in our human rights-related goals.</w:t>
      </w:r>
      <w:r>
        <w:rPr>
          <w:rFonts w:eastAsia="Times New Roman"/>
          <w:sz w:val="20"/>
          <w:szCs w:val="20"/>
        </w:rPr>
        <w:t xml:space="preserve"> </w:t>
      </w:r>
    </w:p>
    <w:p w:rsidR="00000000" w:rsidRDefault="006D723D">
      <w:pPr>
        <w:jc w:val="both"/>
        <w:divId w:val="1110245720"/>
        <w:rPr>
          <w:rFonts w:eastAsia="Times New Roman"/>
        </w:rPr>
      </w:pPr>
      <w:r>
        <w:rPr>
          <w:rFonts w:eastAsia="Times New Roman"/>
          <w:sz w:val="20"/>
          <w:szCs w:val="20"/>
        </w:rPr>
        <w:t>•</w:t>
      </w:r>
    </w:p>
    <w:p w:rsidR="00000000" w:rsidRDefault="006D723D">
      <w:pPr>
        <w:jc w:val="both"/>
        <w:divId w:val="315302652"/>
        <w:rPr>
          <w:rFonts w:eastAsia="Times New Roman"/>
        </w:rPr>
      </w:pPr>
      <w:r>
        <w:rPr>
          <w:rFonts w:eastAsia="Times New Roman"/>
          <w:sz w:val="20"/>
          <w:szCs w:val="20"/>
        </w:rPr>
        <w:t>Es</w:t>
      </w:r>
      <w:r>
        <w:rPr>
          <w:rFonts w:eastAsia="Times New Roman"/>
          <w:sz w:val="20"/>
          <w:szCs w:val="20"/>
        </w:rPr>
        <w:t>tablished three Business Resource Groups, or BRGs, as a part of our enterprise Diversity, Equity &amp; Inclusion, or DE&amp;I, strategy. These include women, military, and multicultural interests</w:t>
      </w:r>
      <w:r>
        <w:rPr>
          <w:rFonts w:eastAsia="Times New Roman"/>
          <w:sz w:val="20"/>
          <w:szCs w:val="20"/>
        </w:rPr>
        <w:t>.</w:t>
      </w:r>
    </w:p>
    <w:p w:rsidR="00000000" w:rsidRDefault="006D723D">
      <w:pPr>
        <w:pStyle w:val="a3"/>
        <w:spacing w:before="120" w:beforeAutospacing="0" w:after="0" w:afterAutospacing="0"/>
        <w:jc w:val="both"/>
        <w:rPr>
          <w:sz w:val="20"/>
          <w:szCs w:val="20"/>
        </w:rPr>
      </w:pPr>
      <w:r>
        <w:rPr>
          <w:sz w:val="20"/>
          <w:szCs w:val="20"/>
        </w:rPr>
        <w:t> </w:t>
      </w:r>
    </w:p>
    <w:p w:rsidR="00000000" w:rsidRDefault="006D723D">
      <w:pPr>
        <w:pStyle w:val="a3"/>
        <w:spacing w:before="240" w:beforeAutospacing="0" w:after="0" w:afterAutospacing="0"/>
        <w:jc w:val="center"/>
        <w:rPr>
          <w:sz w:val="20"/>
          <w:szCs w:val="20"/>
        </w:rPr>
      </w:pPr>
      <w:r>
        <w:rPr>
          <w:sz w:val="20"/>
          <w:szCs w:val="20"/>
        </w:rPr>
        <w:t>2</w:t>
      </w:r>
      <w:r>
        <w:rPr>
          <w:sz w:val="20"/>
          <w:szCs w:val="20"/>
        </w:rPr>
        <w:t>0</w:t>
      </w:r>
    </w:p>
    <w:p w:rsidR="00000000" w:rsidRDefault="006D723D">
      <w:pPr>
        <w:rPr>
          <w:rFonts w:eastAsia="Times New Roman"/>
        </w:rPr>
      </w:pPr>
      <w:r>
        <w:rPr>
          <w:rFonts w:eastAsia="Times New Roman"/>
        </w:rPr>
        <w:pict>
          <v:rect id="_x0000_i1044"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rPr>
          <w:sz w:val="20"/>
          <w:szCs w:val="20"/>
        </w:rPr>
      </w:pPr>
      <w:r>
        <w:rPr>
          <w:b/>
          <w:bCs/>
          <w:sz w:val="20"/>
          <w:szCs w:val="20"/>
        </w:rPr>
        <w:t>Facility</w:t>
      </w:r>
      <w:r>
        <w:rPr>
          <w:b/>
          <w:bCs/>
          <w:sz w:val="20"/>
          <w:szCs w:val="20"/>
        </w:rPr>
        <w:t xml:space="preserve"> </w:t>
      </w:r>
      <w:r>
        <w:rPr>
          <w:b/>
          <w:bCs/>
          <w:sz w:val="20"/>
          <w:szCs w:val="20"/>
        </w:rPr>
        <w:t>Portfoli</w:t>
      </w:r>
      <w:r>
        <w:rPr>
          <w:b/>
          <w:bCs/>
          <w:sz w:val="20"/>
          <w:szCs w:val="20"/>
        </w:rPr>
        <w:t>o</w:t>
      </w:r>
    </w:p>
    <w:p w:rsidR="00000000" w:rsidRDefault="006D723D">
      <w:pPr>
        <w:pStyle w:val="a3"/>
        <w:spacing w:before="120" w:beforeAutospacing="0" w:after="0" w:afterAutospacing="0"/>
        <w:jc w:val="both"/>
        <w:rPr>
          <w:sz w:val="20"/>
          <w:szCs w:val="20"/>
        </w:rPr>
      </w:pPr>
      <w:r>
        <w:rPr>
          <w:b/>
          <w:bCs/>
          <w:i/>
          <w:iCs/>
          <w:sz w:val="20"/>
          <w:szCs w:val="20"/>
        </w:rPr>
        <w:t>CoreCivic Safety and Community Facilities and Facility Management Contract</w:t>
      </w:r>
      <w:r>
        <w:rPr>
          <w:b/>
          <w:bCs/>
          <w:i/>
          <w:iCs/>
          <w:sz w:val="20"/>
          <w:szCs w:val="20"/>
        </w:rPr>
        <w:t>s</w:t>
      </w:r>
    </w:p>
    <w:p w:rsidR="00000000" w:rsidRDefault="006D723D">
      <w:pPr>
        <w:pStyle w:val="a3"/>
        <w:spacing w:before="120" w:beforeAutospacing="0" w:after="0" w:afterAutospacing="0"/>
        <w:jc w:val="both"/>
        <w:rPr>
          <w:sz w:val="20"/>
          <w:szCs w:val="20"/>
        </w:rPr>
      </w:pPr>
      <w:r>
        <w:rPr>
          <w:sz w:val="20"/>
          <w:szCs w:val="20"/>
        </w:rPr>
        <w:t>Our correctional, detention, and residential reentry facilities can generally be classified according to the level(s) of security at such facility. Minimum security facil</w:t>
      </w:r>
      <w:r>
        <w:rPr>
          <w:sz w:val="20"/>
          <w:szCs w:val="20"/>
        </w:rPr>
        <w:t>ities have open housing within an appropriately designed and patrolled institutional perimeter. Medium security facilities have either cells, rooms or dormitories, a secure perimeter, and some form of external patrol. Maximum security facilities have cells</w:t>
      </w:r>
      <w:r>
        <w:rPr>
          <w:sz w:val="20"/>
          <w:szCs w:val="20"/>
        </w:rPr>
        <w:t>, a secure perimeter, and external patrol. Multi-security facilities have various areas encompassing minimum, medium or maximum security</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Our CoreCivic Safety and Community facilities can also be classified according to their primary function. The primary</w:t>
      </w:r>
      <w:r>
        <w:rPr>
          <w:sz w:val="20"/>
          <w:szCs w:val="20"/>
        </w:rPr>
        <w:t xml:space="preserve"> functional categories are</w:t>
      </w:r>
      <w:r>
        <w:rPr>
          <w:sz w:val="20"/>
          <w:szCs w:val="20"/>
        </w:rPr>
        <w:t>:</w:t>
      </w:r>
    </w:p>
    <w:p w:rsidR="00000000" w:rsidRDefault="006D723D">
      <w:pPr>
        <w:jc w:val="both"/>
        <w:divId w:val="1923023372"/>
        <w:rPr>
          <w:rFonts w:eastAsia="Times New Roman"/>
        </w:rPr>
      </w:pPr>
      <w:r>
        <w:rPr>
          <w:rFonts w:eastAsia="Times New Roman"/>
          <w:sz w:val="20"/>
          <w:szCs w:val="20"/>
        </w:rPr>
        <w:t>•</w:t>
      </w:r>
    </w:p>
    <w:p w:rsidR="00000000" w:rsidRDefault="006D723D">
      <w:pPr>
        <w:jc w:val="both"/>
        <w:divId w:val="208227833"/>
        <w:rPr>
          <w:rFonts w:eastAsia="Times New Roman"/>
        </w:rPr>
      </w:pPr>
      <w:r>
        <w:rPr>
          <w:rFonts w:eastAsia="Times New Roman"/>
          <w:i/>
          <w:iCs/>
          <w:sz w:val="20"/>
          <w:szCs w:val="20"/>
        </w:rPr>
        <w:t>Correctional Facilitie</w:t>
      </w:r>
      <w:r>
        <w:rPr>
          <w:rFonts w:eastAsia="Times New Roman"/>
          <w:i/>
          <w:iCs/>
          <w:sz w:val="20"/>
          <w:szCs w:val="20"/>
        </w:rPr>
        <w:t>s</w:t>
      </w:r>
      <w:r>
        <w:rPr>
          <w:rFonts w:eastAsia="Times New Roman"/>
          <w:sz w:val="20"/>
          <w:szCs w:val="20"/>
        </w:rPr>
        <w:t>. Correctional facilities care for and provide contractually agreed upon programs and services to sentenced adult prisoners, typically prisoners on whom a sentence in excess of one year has been imposed</w:t>
      </w:r>
      <w:r>
        <w:rPr>
          <w:rFonts w:eastAsia="Times New Roman"/>
          <w:sz w:val="20"/>
          <w:szCs w:val="20"/>
        </w:rPr>
        <w:t>.</w:t>
      </w:r>
    </w:p>
    <w:p w:rsidR="00000000" w:rsidRDefault="006D723D">
      <w:pPr>
        <w:jc w:val="both"/>
        <w:divId w:val="1566406419"/>
        <w:rPr>
          <w:rFonts w:eastAsia="Times New Roman"/>
        </w:rPr>
      </w:pPr>
      <w:r>
        <w:rPr>
          <w:rFonts w:eastAsia="Times New Roman"/>
          <w:sz w:val="20"/>
          <w:szCs w:val="20"/>
        </w:rPr>
        <w:t>•</w:t>
      </w:r>
    </w:p>
    <w:p w:rsidR="00000000" w:rsidRDefault="006D723D">
      <w:pPr>
        <w:jc w:val="both"/>
        <w:divId w:val="189874767"/>
        <w:rPr>
          <w:rFonts w:eastAsia="Times New Roman"/>
        </w:rPr>
      </w:pPr>
      <w:r>
        <w:rPr>
          <w:rFonts w:eastAsia="Times New Roman"/>
          <w:i/>
          <w:iCs/>
          <w:sz w:val="20"/>
          <w:szCs w:val="20"/>
        </w:rPr>
        <w:t>Detention Facilitie</w:t>
      </w:r>
      <w:r>
        <w:rPr>
          <w:rFonts w:eastAsia="Times New Roman"/>
          <w:i/>
          <w:iCs/>
          <w:sz w:val="20"/>
          <w:szCs w:val="20"/>
        </w:rPr>
        <w:t>s</w:t>
      </w:r>
      <w:r>
        <w:rPr>
          <w:rFonts w:eastAsia="Times New Roman"/>
          <w:sz w:val="20"/>
          <w:szCs w:val="20"/>
        </w:rPr>
        <w:t>. Detention facilities care for and provide contractually agreed upon programs and services to (i) individuals being detained by ICE, (ii) individuals who are awaiting trial who have been charged with violations of federal criminal l</w:t>
      </w:r>
      <w:r>
        <w:rPr>
          <w:rFonts w:eastAsia="Times New Roman"/>
          <w:sz w:val="20"/>
          <w:szCs w:val="20"/>
        </w:rPr>
        <w:t>aw (and are therefore in the custody of the USMS) or state criminal law, and (iii) prisoners who have been convicted of crimes and on whom a sentence of one year or less has been imposed</w:t>
      </w:r>
      <w:r>
        <w:rPr>
          <w:rFonts w:eastAsia="Times New Roman"/>
          <w:sz w:val="20"/>
          <w:szCs w:val="20"/>
        </w:rPr>
        <w:t>.</w:t>
      </w:r>
    </w:p>
    <w:p w:rsidR="00000000" w:rsidRDefault="006D723D">
      <w:pPr>
        <w:jc w:val="both"/>
        <w:divId w:val="600603318"/>
        <w:rPr>
          <w:rFonts w:eastAsia="Times New Roman"/>
        </w:rPr>
      </w:pPr>
      <w:r>
        <w:rPr>
          <w:rFonts w:eastAsia="Times New Roman"/>
          <w:sz w:val="20"/>
          <w:szCs w:val="20"/>
        </w:rPr>
        <w:t>•</w:t>
      </w:r>
    </w:p>
    <w:p w:rsidR="00000000" w:rsidRDefault="006D723D">
      <w:pPr>
        <w:jc w:val="both"/>
        <w:divId w:val="1356419532"/>
        <w:rPr>
          <w:rFonts w:eastAsia="Times New Roman"/>
        </w:rPr>
      </w:pPr>
      <w:r>
        <w:rPr>
          <w:rFonts w:eastAsia="Times New Roman"/>
          <w:i/>
          <w:iCs/>
          <w:sz w:val="20"/>
          <w:szCs w:val="20"/>
        </w:rPr>
        <w:t>Residential Facilities.</w:t>
      </w:r>
      <w:r>
        <w:rPr>
          <w:rFonts w:eastAsia="Times New Roman"/>
          <w:i/>
          <w:iCs/>
          <w:sz w:val="20"/>
          <w:szCs w:val="20"/>
        </w:rPr>
        <w:t xml:space="preserve"> </w:t>
      </w:r>
      <w:r>
        <w:rPr>
          <w:rFonts w:eastAsia="Times New Roman"/>
          <w:sz w:val="20"/>
          <w:szCs w:val="20"/>
        </w:rPr>
        <w:t>Residential facilities provide space and r</w:t>
      </w:r>
      <w:r>
        <w:rPr>
          <w:rFonts w:eastAsia="Times New Roman"/>
          <w:sz w:val="20"/>
          <w:szCs w:val="20"/>
        </w:rPr>
        <w:t>esidential services in an open and safe environment to individuals who have been detained by ICE and are awaiting the outcome of immigration hearings. As contractually agreed upon, residential facilities offer services including, but not limited to, educat</w:t>
      </w:r>
      <w:r>
        <w:rPr>
          <w:rFonts w:eastAsia="Times New Roman"/>
          <w:sz w:val="20"/>
          <w:szCs w:val="20"/>
        </w:rPr>
        <w:t>ional programs, medical care, recreational activities, counseling, and access to religious and legal services pursuant to Family Residential Standards issued by ICE.</w:t>
      </w:r>
      <w:r>
        <w:rPr>
          <w:rFonts w:eastAsia="Times New Roman"/>
          <w:sz w:val="20"/>
          <w:szCs w:val="20"/>
        </w:rPr>
        <w:t xml:space="preserve"> </w:t>
      </w:r>
    </w:p>
    <w:p w:rsidR="00000000" w:rsidRDefault="006D723D">
      <w:pPr>
        <w:jc w:val="both"/>
        <w:divId w:val="125975144"/>
        <w:rPr>
          <w:rFonts w:eastAsia="Times New Roman"/>
        </w:rPr>
      </w:pPr>
      <w:r>
        <w:rPr>
          <w:rFonts w:eastAsia="Times New Roman"/>
          <w:sz w:val="20"/>
          <w:szCs w:val="20"/>
        </w:rPr>
        <w:t>•</w:t>
      </w:r>
    </w:p>
    <w:p w:rsidR="00000000" w:rsidRDefault="006D723D">
      <w:pPr>
        <w:jc w:val="both"/>
        <w:divId w:val="1304240157"/>
        <w:rPr>
          <w:rFonts w:eastAsia="Times New Roman"/>
        </w:rPr>
      </w:pPr>
      <w:r>
        <w:rPr>
          <w:rFonts w:eastAsia="Times New Roman"/>
          <w:i/>
          <w:iCs/>
          <w:sz w:val="20"/>
          <w:szCs w:val="20"/>
        </w:rPr>
        <w:t>Community Corrections.</w:t>
      </w:r>
      <w:r>
        <w:rPr>
          <w:rFonts w:eastAsia="Times New Roman"/>
          <w:i/>
          <w:iCs/>
          <w:sz w:val="20"/>
          <w:szCs w:val="20"/>
        </w:rPr>
        <w:t xml:space="preserve"> </w:t>
      </w:r>
      <w:r>
        <w:rPr>
          <w:rFonts w:eastAsia="Times New Roman"/>
          <w:sz w:val="20"/>
          <w:szCs w:val="20"/>
        </w:rPr>
        <w:t>Community corrections/residential reentry facilities offer housi</w:t>
      </w:r>
      <w:r>
        <w:rPr>
          <w:rFonts w:eastAsia="Times New Roman"/>
          <w:sz w:val="20"/>
          <w:szCs w:val="20"/>
        </w:rPr>
        <w:t>ng and programs to offenders who are serving the last portion of their sentence or who have been assigned to the facility in lieu of a jail or prison sentence, with a key focus on employment, job readiness, and life skills</w:t>
      </w:r>
      <w:r>
        <w:rPr>
          <w:rFonts w:eastAsia="Times New Roman"/>
          <w:sz w:val="20"/>
          <w:szCs w:val="20"/>
        </w:rPr>
        <w:t>.</w:t>
      </w:r>
    </w:p>
    <w:p w:rsidR="00000000" w:rsidRDefault="006D723D">
      <w:pPr>
        <w:pStyle w:val="a3"/>
        <w:spacing w:before="120" w:beforeAutospacing="0" w:after="0" w:afterAutospacing="0"/>
        <w:ind w:left="1071"/>
        <w:jc w:val="both"/>
        <w:rPr>
          <w:sz w:val="20"/>
          <w:szCs w:val="20"/>
        </w:rPr>
      </w:pPr>
      <w:r>
        <w:rPr>
          <w:sz w:val="20"/>
          <w:szCs w:val="20"/>
        </w:rPr>
        <w:t> </w:t>
      </w:r>
    </w:p>
    <w:p w:rsidR="00000000" w:rsidRDefault="006D723D">
      <w:pPr>
        <w:pStyle w:val="a3"/>
        <w:spacing w:before="0" w:beforeAutospacing="0" w:after="0" w:afterAutospacing="0"/>
        <w:jc w:val="both"/>
        <w:rPr>
          <w:sz w:val="20"/>
          <w:szCs w:val="20"/>
        </w:rPr>
      </w:pPr>
      <w:r>
        <w:rPr>
          <w:sz w:val="20"/>
          <w:szCs w:val="20"/>
        </w:rPr>
        <w:t>As of December 31, 2022, throu</w:t>
      </w:r>
      <w:r>
        <w:rPr>
          <w:sz w:val="20"/>
          <w:szCs w:val="20"/>
        </w:rPr>
        <w:t>gh our CoreCivic Safety segment, we operated 44 correctional and detention facilities, 40 of which we owned and managed and four of which we managed and were owned by our government partners. Through our CoreCivic Community segment, we also owned and manag</w:t>
      </w:r>
      <w:r>
        <w:rPr>
          <w:sz w:val="20"/>
          <w:szCs w:val="20"/>
        </w:rPr>
        <w:t xml:space="preserve">ed 23 residential reentry centers. Owned and managed facilities include facilities placed into service that we own or control via a long-term lease and manage. The following table includes certain information regarding each facility, including the term of </w:t>
      </w:r>
      <w:r>
        <w:rPr>
          <w:sz w:val="20"/>
          <w:szCs w:val="20"/>
        </w:rPr>
        <w:t>the primary customer contract related to such facility</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2</w:t>
      </w:r>
      <w:r>
        <w:rPr>
          <w:sz w:val="20"/>
          <w:szCs w:val="20"/>
        </w:rPr>
        <w:t>1</w:t>
      </w:r>
    </w:p>
    <w:p w:rsidR="00000000" w:rsidRDefault="006D723D">
      <w:pPr>
        <w:rPr>
          <w:rFonts w:eastAsia="Times New Roman"/>
        </w:rPr>
      </w:pPr>
      <w:r>
        <w:rPr>
          <w:rFonts w:eastAsia="Times New Roman"/>
        </w:rPr>
        <w:pict>
          <v:rect id="_x0000_i1045"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93"/>
        <w:gridCol w:w="105"/>
        <w:gridCol w:w="1210"/>
        <w:gridCol w:w="105"/>
        <w:gridCol w:w="119"/>
        <w:gridCol w:w="555"/>
        <w:gridCol w:w="105"/>
        <w:gridCol w:w="105"/>
        <w:gridCol w:w="111"/>
        <w:gridCol w:w="721"/>
        <w:gridCol w:w="105"/>
        <w:gridCol w:w="105"/>
        <w:gridCol w:w="133"/>
        <w:gridCol w:w="827"/>
        <w:gridCol w:w="105"/>
        <w:gridCol w:w="105"/>
        <w:gridCol w:w="111"/>
        <w:gridCol w:w="649"/>
        <w:gridCol w:w="105"/>
        <w:gridCol w:w="105"/>
        <w:gridCol w:w="228"/>
        <w:gridCol w:w="579"/>
        <w:gridCol w:w="120"/>
      </w:tblGrid>
      <w:tr w:rsidR="00000000">
        <w:trPr>
          <w:tblCellSpacing w:w="15" w:type="dxa"/>
        </w:trPr>
        <w:tc>
          <w:tcPr>
            <w:tcW w:w="1817" w:type="pct"/>
            <w:vAlign w:val="center"/>
            <w:hideMark/>
          </w:tcPr>
          <w:p w:rsidR="00000000" w:rsidRDefault="006D723D">
            <w:pPr>
              <w:rPr>
                <w:sz w:val="20"/>
                <w:szCs w:val="20"/>
              </w:rPr>
            </w:pPr>
          </w:p>
        </w:tc>
        <w:tc>
          <w:tcPr>
            <w:tcW w:w="4" w:type="pct"/>
            <w:vAlign w:val="center"/>
            <w:hideMark/>
          </w:tcPr>
          <w:p w:rsidR="00000000" w:rsidRDefault="006D723D">
            <w:pPr>
              <w:rPr>
                <w:rFonts w:eastAsia="Times New Roman"/>
                <w:sz w:val="20"/>
                <w:szCs w:val="20"/>
              </w:rPr>
            </w:pPr>
          </w:p>
        </w:tc>
        <w:tc>
          <w:tcPr>
            <w:tcW w:w="1014" w:type="pct"/>
            <w:vAlign w:val="center"/>
            <w:hideMark/>
          </w:tcPr>
          <w:p w:rsidR="00000000" w:rsidRDefault="006D723D">
            <w:pPr>
              <w:rPr>
                <w:rFonts w:eastAsia="Times New Roman"/>
                <w:sz w:val="20"/>
                <w:szCs w:val="20"/>
              </w:rPr>
            </w:pPr>
          </w:p>
        </w:tc>
        <w:tc>
          <w:tcPr>
            <w:tcW w:w="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9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2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90"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8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13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b/>
                <w:bCs/>
                <w:sz w:val="16"/>
                <w:szCs w:val="16"/>
              </w:rPr>
              <w:t>Facility Nam</w:t>
            </w:r>
            <w:r>
              <w:rPr>
                <w:b/>
                <w:bCs/>
                <w:sz w:val="16"/>
                <w:szCs w:val="16"/>
              </w:rPr>
              <w:t>e</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b/>
                <w:bCs/>
                <w:sz w:val="16"/>
                <w:szCs w:val="16"/>
              </w:rPr>
              <w:t>Primary Custome</w:t>
            </w:r>
            <w:r>
              <w:rPr>
                <w:b/>
                <w:bCs/>
                <w:sz w:val="16"/>
                <w:szCs w:val="16"/>
              </w:rPr>
              <w:t>r</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Design</w:t>
            </w:r>
            <w:r>
              <w:rPr>
                <w:b/>
                <w:bCs/>
                <w:sz w:val="16"/>
                <w:szCs w:val="16"/>
              </w:rPr>
              <w:br/>
              <w:t>Capacity</w:t>
            </w:r>
            <w:r>
              <w:rPr>
                <w:b/>
                <w:bCs/>
                <w:sz w:val="16"/>
                <w:szCs w:val="16"/>
              </w:rPr>
              <w:br/>
              <w:t>(A</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Security Leve</w:t>
            </w:r>
            <w:r>
              <w:rPr>
                <w:b/>
                <w:bCs/>
                <w:sz w:val="16"/>
                <w:szCs w:val="16"/>
              </w:rPr>
              <w:t>l</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Facility Type</w:t>
            </w:r>
            <w:r>
              <w:rPr>
                <w:b/>
                <w:bCs/>
                <w:sz w:val="16"/>
                <w:szCs w:val="16"/>
              </w:rPr>
              <w:br/>
              <w:t>(B</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Ter</w:t>
            </w:r>
            <w:r>
              <w:rPr>
                <w:b/>
                <w:bCs/>
                <w:sz w:val="16"/>
                <w:szCs w:val="16"/>
              </w:rPr>
              <w:t>m</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Remaining</w:t>
            </w:r>
            <w:r>
              <w:rPr>
                <w:b/>
                <w:bCs/>
                <w:sz w:val="16"/>
                <w:szCs w:val="16"/>
              </w:rPr>
              <w:br/>
            </w:r>
            <w:r>
              <w:rPr>
                <w:b/>
                <w:bCs/>
                <w:sz w:val="16"/>
                <w:szCs w:val="16"/>
              </w:rPr>
              <w:t>Renewal Options</w:t>
            </w:r>
            <w:r>
              <w:rPr>
                <w:b/>
                <w:bCs/>
                <w:sz w:val="16"/>
                <w:szCs w:val="16"/>
              </w:rPr>
              <w:br/>
              <w:t>(C</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hideMark/>
          </w:tcPr>
          <w:p w:rsidR="00000000" w:rsidRDefault="006D723D">
            <w:pPr>
              <w:pStyle w:val="a3"/>
              <w:spacing w:before="0" w:beforeAutospacing="0" w:after="0" w:afterAutospacing="0"/>
              <w:rPr>
                <w:sz w:val="18"/>
                <w:szCs w:val="18"/>
              </w:rPr>
            </w:pPr>
            <w:r>
              <w:rPr>
                <w:b/>
                <w:bCs/>
                <w:sz w:val="18"/>
                <w:szCs w:val="18"/>
              </w:rPr>
              <w:t>CoreCivic Safety Facilities</w:t>
            </w:r>
            <w:r>
              <w:rPr>
                <w:b/>
                <w:bCs/>
                <w:sz w:val="18"/>
                <w:szCs w:val="18"/>
              </w:rPr>
              <w:t>:</w:t>
            </w:r>
          </w:p>
        </w:tc>
        <w:tc>
          <w:tcPr>
            <w:tcW w:w="0" w:type="auto"/>
            <w:hideMark/>
          </w:tcPr>
          <w:p w:rsidR="00000000" w:rsidRDefault="006D723D">
            <w:pPr>
              <w:pStyle w:val="a3"/>
              <w:spacing w:before="0" w:beforeAutospacing="0" w:after="0" w:afterAutospacing="0"/>
              <w:rPr>
                <w:sz w:val="18"/>
                <w:szCs w:val="18"/>
              </w:rPr>
            </w:pPr>
            <w:r>
              <w:rPr>
                <w:sz w:val="18"/>
                <w:szCs w:val="18"/>
              </w:rPr>
              <w:t> </w:t>
            </w:r>
          </w:p>
        </w:tc>
        <w:tc>
          <w:tcPr>
            <w:tcW w:w="0" w:type="auto"/>
            <w:hideMark/>
          </w:tcPr>
          <w:p w:rsidR="00000000" w:rsidRDefault="006D723D">
            <w:pPr>
              <w:pStyle w:val="a3"/>
              <w:spacing w:before="0" w:beforeAutospacing="0" w:after="0" w:afterAutospacing="0"/>
              <w:jc w:val="center"/>
              <w:rPr>
                <w:sz w:val="18"/>
                <w:szCs w:val="18"/>
              </w:rPr>
            </w:pPr>
            <w:r>
              <w:rPr>
                <w:sz w:val="18"/>
                <w:szCs w:val="18"/>
              </w:rPr>
              <w:t> </w:t>
            </w:r>
          </w:p>
        </w:tc>
        <w:tc>
          <w:tcPr>
            <w:tcW w:w="0" w:type="auto"/>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hideMark/>
          </w:tcPr>
          <w:p w:rsidR="00000000" w:rsidRDefault="006D723D">
            <w:pPr>
              <w:pStyle w:val="a3"/>
              <w:spacing w:before="0" w:beforeAutospacing="0" w:after="0" w:afterAutospacing="0"/>
              <w:rPr>
                <w:sz w:val="18"/>
                <w:szCs w:val="18"/>
              </w:rPr>
            </w:pPr>
            <w:r>
              <w:rPr>
                <w:sz w:val="18"/>
                <w:szCs w:val="18"/>
              </w:rPr>
              <w:t> </w:t>
            </w:r>
          </w:p>
        </w:tc>
        <w:tc>
          <w:tcPr>
            <w:tcW w:w="0" w:type="auto"/>
            <w:hideMark/>
          </w:tcPr>
          <w:p w:rsidR="00000000" w:rsidRDefault="006D723D">
            <w:pPr>
              <w:pStyle w:val="a3"/>
              <w:spacing w:before="0" w:beforeAutospacing="0" w:after="0" w:afterAutospacing="0"/>
              <w:rPr>
                <w:sz w:val="18"/>
                <w:szCs w:val="18"/>
              </w:rPr>
            </w:pPr>
            <w:r>
              <w:rPr>
                <w:sz w:val="18"/>
                <w:szCs w:val="18"/>
              </w:rPr>
              <w:t> </w:t>
            </w:r>
          </w:p>
        </w:tc>
        <w:tc>
          <w:tcPr>
            <w:tcW w:w="0" w:type="auto"/>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hideMark/>
          </w:tcPr>
          <w:p w:rsidR="00000000" w:rsidRDefault="006D723D">
            <w:pPr>
              <w:pStyle w:val="a3"/>
              <w:spacing w:before="0" w:beforeAutospacing="0" w:after="0" w:afterAutospacing="0"/>
              <w:jc w:val="center"/>
              <w:rPr>
                <w:sz w:val="18"/>
                <w:szCs w:val="18"/>
              </w:rPr>
            </w:pPr>
            <w:r>
              <w:rPr>
                <w:sz w:val="18"/>
                <w:szCs w:val="18"/>
              </w:rPr>
              <w:t> </w:t>
            </w:r>
          </w:p>
        </w:tc>
        <w:tc>
          <w:tcPr>
            <w:tcW w:w="0" w:type="auto"/>
            <w:hideMark/>
          </w:tcPr>
          <w:p w:rsidR="00000000" w:rsidRDefault="006D723D">
            <w:pPr>
              <w:pStyle w:val="a3"/>
              <w:spacing w:before="0" w:beforeAutospacing="0" w:after="0" w:afterAutospacing="0"/>
              <w:jc w:val="center"/>
              <w:rPr>
                <w:sz w:val="18"/>
                <w:szCs w:val="18"/>
              </w:rPr>
            </w:pPr>
            <w:r>
              <w:rPr>
                <w:sz w:val="18"/>
                <w:szCs w:val="18"/>
              </w:rPr>
              <w:t> </w:t>
            </w:r>
          </w:p>
        </w:tc>
        <w:tc>
          <w:tcPr>
            <w:tcW w:w="0" w:type="auto"/>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hideMark/>
          </w:tcPr>
          <w:p w:rsidR="00000000" w:rsidRDefault="006D723D">
            <w:pPr>
              <w:pStyle w:val="a3"/>
              <w:spacing w:before="0" w:beforeAutospacing="0" w:after="0" w:afterAutospacing="0"/>
              <w:jc w:val="center"/>
              <w:rPr>
                <w:sz w:val="18"/>
                <w:szCs w:val="18"/>
              </w:rPr>
            </w:pPr>
            <w:r>
              <w:rPr>
                <w:sz w:val="18"/>
                <w:szCs w:val="18"/>
              </w:rPr>
              <w:t> </w:t>
            </w:r>
          </w:p>
        </w:tc>
        <w:tc>
          <w:tcPr>
            <w:tcW w:w="0" w:type="auto"/>
            <w:hideMark/>
          </w:tcPr>
          <w:p w:rsidR="00000000" w:rsidRDefault="006D723D">
            <w:pPr>
              <w:pStyle w:val="a3"/>
              <w:spacing w:before="0" w:beforeAutospacing="0" w:after="0" w:afterAutospacing="0"/>
              <w:jc w:val="center"/>
              <w:rPr>
                <w:sz w:val="18"/>
                <w:szCs w:val="18"/>
              </w:rPr>
            </w:pPr>
            <w:r>
              <w:rPr>
                <w:sz w:val="18"/>
                <w:szCs w:val="18"/>
              </w:rPr>
              <w:t> </w:t>
            </w:r>
          </w:p>
        </w:tc>
        <w:tc>
          <w:tcPr>
            <w:tcW w:w="0" w:type="auto"/>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hideMark/>
          </w:tcPr>
          <w:p w:rsidR="00000000" w:rsidRDefault="006D723D">
            <w:pPr>
              <w:pStyle w:val="a3"/>
              <w:spacing w:before="0" w:beforeAutospacing="0" w:after="0" w:afterAutospacing="0"/>
              <w:jc w:val="center"/>
              <w:rPr>
                <w:sz w:val="18"/>
                <w:szCs w:val="18"/>
              </w:rPr>
            </w:pPr>
            <w:r>
              <w:rPr>
                <w:sz w:val="18"/>
                <w:szCs w:val="18"/>
              </w:rPr>
              <w:t> </w:t>
            </w:r>
          </w:p>
        </w:tc>
        <w:tc>
          <w:tcPr>
            <w:tcW w:w="0" w:type="auto"/>
            <w:hideMark/>
          </w:tcPr>
          <w:p w:rsidR="00000000" w:rsidRDefault="006D723D">
            <w:pPr>
              <w:pStyle w:val="a3"/>
              <w:spacing w:before="0" w:beforeAutospacing="0" w:after="0" w:afterAutospacing="0"/>
              <w:jc w:val="center"/>
              <w:rPr>
                <w:sz w:val="18"/>
                <w:szCs w:val="18"/>
              </w:rPr>
            </w:pPr>
            <w:r>
              <w:rPr>
                <w:sz w:val="18"/>
                <w:szCs w:val="18"/>
              </w:rPr>
              <w:t> </w:t>
            </w:r>
          </w:p>
        </w:tc>
        <w:tc>
          <w:tcPr>
            <w:tcW w:w="0" w:type="auto"/>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hideMark/>
          </w:tcPr>
          <w:p w:rsidR="00000000" w:rsidRDefault="006D723D">
            <w:pPr>
              <w:pStyle w:val="a3"/>
              <w:spacing w:before="0" w:beforeAutospacing="0" w:after="0" w:afterAutospacing="0"/>
              <w:jc w:val="center"/>
              <w:rPr>
                <w:sz w:val="18"/>
                <w:szCs w:val="18"/>
              </w:rPr>
            </w:pPr>
            <w:r>
              <w:rPr>
                <w:sz w:val="18"/>
                <w:szCs w:val="18"/>
              </w:rPr>
              <w:t> </w:t>
            </w:r>
          </w:p>
        </w:tc>
        <w:tc>
          <w:tcPr>
            <w:tcW w:w="0" w:type="auto"/>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hideMark/>
          </w:tcPr>
          <w:p w:rsidR="00000000" w:rsidRDefault="006D723D">
            <w:pPr>
              <w:pStyle w:val="a3"/>
              <w:spacing w:before="0" w:beforeAutospacing="0" w:after="0" w:afterAutospacing="0"/>
              <w:rPr>
                <w:sz w:val="18"/>
                <w:szCs w:val="18"/>
              </w:rPr>
            </w:pPr>
            <w:r>
              <w:rPr>
                <w:sz w:val="18"/>
                <w:szCs w:val="18"/>
              </w:rPr>
              <w:t> </w:t>
            </w:r>
          </w:p>
        </w:tc>
        <w:tc>
          <w:tcPr>
            <w:tcW w:w="0" w:type="auto"/>
            <w:hideMark/>
          </w:tcPr>
          <w:p w:rsidR="00000000" w:rsidRDefault="006D723D">
            <w:pPr>
              <w:pStyle w:val="a3"/>
              <w:spacing w:before="0" w:beforeAutospacing="0" w:after="0" w:afterAutospacing="0"/>
              <w:rPr>
                <w:sz w:val="18"/>
                <w:szCs w:val="18"/>
              </w:rPr>
            </w:pPr>
            <w:r>
              <w:rPr>
                <w:sz w:val="18"/>
                <w:szCs w:val="18"/>
              </w:rPr>
              <w:t> </w:t>
            </w:r>
          </w:p>
        </w:tc>
        <w:tc>
          <w:tcPr>
            <w:tcW w:w="0" w:type="auto"/>
            <w:hideMark/>
          </w:tcPr>
          <w:p w:rsidR="00000000" w:rsidRDefault="006D723D">
            <w:pPr>
              <w:pStyle w:val="a3"/>
              <w:spacing w:before="0" w:beforeAutospacing="0" w:after="0" w:afterAutospacing="0"/>
              <w:jc w:val="center"/>
              <w:rPr>
                <w:sz w:val="18"/>
                <w:szCs w:val="18"/>
              </w:rPr>
            </w:pPr>
            <w:r>
              <w:rPr>
                <w:sz w:val="18"/>
                <w:szCs w:val="18"/>
              </w:rPr>
              <w:t> </w:t>
            </w:r>
          </w:p>
        </w:tc>
        <w:tc>
          <w:tcPr>
            <w:tcW w:w="0" w:type="auto"/>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hideMark/>
          </w:tcPr>
          <w:p w:rsidR="00000000" w:rsidRDefault="006D723D">
            <w:pPr>
              <w:pStyle w:val="a3"/>
              <w:spacing w:before="0" w:beforeAutospacing="0" w:after="0" w:afterAutospacing="0"/>
              <w:rPr>
                <w:sz w:val="18"/>
                <w:szCs w:val="18"/>
              </w:rPr>
            </w:pPr>
            <w:r>
              <w:rPr>
                <w:sz w:val="18"/>
                <w:szCs w:val="18"/>
              </w:rPr>
              <w:t> </w:t>
            </w:r>
          </w:p>
        </w:tc>
        <w:tc>
          <w:tcPr>
            <w:tcW w:w="0" w:type="auto"/>
            <w:hideMark/>
          </w:tcPr>
          <w:p w:rsidR="00000000" w:rsidRDefault="006D723D">
            <w:pPr>
              <w:pStyle w:val="a3"/>
              <w:spacing w:before="0" w:beforeAutospacing="0" w:after="0" w:afterAutospacing="0"/>
              <w:rPr>
                <w:sz w:val="18"/>
                <w:szCs w:val="18"/>
              </w:rPr>
            </w:pPr>
            <w:r>
              <w:rPr>
                <w:sz w:val="18"/>
                <w:szCs w:val="18"/>
              </w:rPr>
              <w:t> </w:t>
            </w:r>
          </w:p>
        </w:tc>
        <w:tc>
          <w:tcPr>
            <w:tcW w:w="0" w:type="auto"/>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hideMark/>
          </w:tcPr>
          <w:p w:rsidR="00000000" w:rsidRDefault="006D723D">
            <w:pPr>
              <w:pStyle w:val="a3"/>
              <w:spacing w:before="0" w:beforeAutospacing="0" w:after="0" w:afterAutospacing="0"/>
              <w:jc w:val="center"/>
              <w:rPr>
                <w:sz w:val="18"/>
                <w:szCs w:val="18"/>
              </w:rPr>
            </w:pPr>
            <w:r>
              <w:rPr>
                <w:sz w:val="18"/>
                <w:szCs w:val="18"/>
              </w:rPr>
              <w:t> </w:t>
            </w:r>
          </w:p>
        </w:tc>
        <w:tc>
          <w:tcPr>
            <w:tcW w:w="0" w:type="auto"/>
            <w:hideMark/>
          </w:tcPr>
          <w:p w:rsidR="00000000" w:rsidRDefault="006D723D">
            <w:pPr>
              <w:pStyle w:val="a3"/>
              <w:spacing w:before="0" w:beforeAutospacing="0" w:after="0" w:afterAutospacing="0"/>
              <w:jc w:val="center"/>
              <w:rPr>
                <w:sz w:val="18"/>
                <w:szCs w:val="18"/>
              </w:rPr>
            </w:pPr>
            <w:r>
              <w:rPr>
                <w:sz w:val="18"/>
                <w:szCs w:val="18"/>
              </w:rPr>
              <w:t> </w:t>
            </w:r>
          </w:p>
        </w:tc>
        <w:tc>
          <w:tcPr>
            <w:tcW w:w="0" w:type="auto"/>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hideMark/>
          </w:tcPr>
          <w:p w:rsidR="00000000" w:rsidRDefault="006D723D">
            <w:pPr>
              <w:pStyle w:val="a3"/>
              <w:spacing w:before="0" w:beforeAutospacing="0" w:after="0" w:afterAutospacing="0"/>
              <w:jc w:val="center"/>
              <w:rPr>
                <w:sz w:val="18"/>
                <w:szCs w:val="18"/>
              </w:rPr>
            </w:pPr>
            <w:r>
              <w:rPr>
                <w:sz w:val="18"/>
                <w:szCs w:val="18"/>
              </w:rPr>
              <w:t> </w:t>
            </w:r>
          </w:p>
        </w:tc>
        <w:tc>
          <w:tcPr>
            <w:tcW w:w="0" w:type="auto"/>
            <w:hideMark/>
          </w:tcPr>
          <w:p w:rsidR="00000000" w:rsidRDefault="006D723D">
            <w:pPr>
              <w:pStyle w:val="a3"/>
              <w:spacing w:before="0" w:beforeAutospacing="0" w:after="0" w:afterAutospacing="0"/>
              <w:jc w:val="center"/>
              <w:rPr>
                <w:sz w:val="18"/>
                <w:szCs w:val="18"/>
              </w:rPr>
            </w:pPr>
            <w:r>
              <w:rPr>
                <w:sz w:val="18"/>
                <w:szCs w:val="18"/>
              </w:rPr>
              <w:t> </w:t>
            </w:r>
          </w:p>
        </w:tc>
        <w:tc>
          <w:tcPr>
            <w:tcW w:w="0" w:type="auto"/>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hideMark/>
          </w:tcPr>
          <w:p w:rsidR="00000000" w:rsidRDefault="006D723D">
            <w:pPr>
              <w:pStyle w:val="a3"/>
              <w:spacing w:before="0" w:beforeAutospacing="0" w:after="0" w:afterAutospacing="0"/>
              <w:jc w:val="center"/>
              <w:rPr>
                <w:sz w:val="18"/>
                <w:szCs w:val="18"/>
              </w:rPr>
            </w:pPr>
            <w:r>
              <w:rPr>
                <w:sz w:val="18"/>
                <w:szCs w:val="18"/>
              </w:rPr>
              <w:t> </w:t>
            </w:r>
          </w:p>
        </w:tc>
        <w:tc>
          <w:tcPr>
            <w:tcW w:w="0" w:type="auto"/>
            <w:hideMark/>
          </w:tcPr>
          <w:p w:rsidR="00000000" w:rsidRDefault="006D723D">
            <w:pPr>
              <w:pStyle w:val="a3"/>
              <w:spacing w:before="0" w:beforeAutospacing="0" w:after="0" w:afterAutospacing="0"/>
              <w:jc w:val="center"/>
              <w:rPr>
                <w:sz w:val="18"/>
                <w:szCs w:val="18"/>
              </w:rPr>
            </w:pPr>
            <w:r>
              <w:rPr>
                <w:sz w:val="18"/>
                <w:szCs w:val="18"/>
              </w:rPr>
              <w:t> </w:t>
            </w:r>
          </w:p>
        </w:tc>
        <w:tc>
          <w:tcPr>
            <w:tcW w:w="0" w:type="auto"/>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hideMark/>
          </w:tcPr>
          <w:p w:rsidR="00000000" w:rsidRDefault="006D723D">
            <w:pPr>
              <w:pStyle w:val="a3"/>
              <w:spacing w:before="0" w:beforeAutospacing="0" w:after="0" w:afterAutospacing="0"/>
              <w:jc w:val="center"/>
              <w:rPr>
                <w:sz w:val="18"/>
                <w:szCs w:val="18"/>
              </w:rPr>
            </w:pPr>
            <w:r>
              <w:rPr>
                <w:sz w:val="18"/>
                <w:szCs w:val="18"/>
              </w:rPr>
              <w:t> </w:t>
            </w:r>
          </w:p>
        </w:tc>
        <w:tc>
          <w:tcPr>
            <w:tcW w:w="0" w:type="auto"/>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b/>
                <w:bCs/>
                <w:sz w:val="18"/>
                <w:szCs w:val="18"/>
              </w:rPr>
              <w:t>Safety - Owned and Managed</w:t>
            </w:r>
            <w:r>
              <w:rPr>
                <w:b/>
                <w:bCs/>
                <w:sz w:val="18"/>
                <w:szCs w:val="18"/>
              </w:rPr>
              <w:t>:</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xml:space="preserve">Central Arizona Florence </w:t>
            </w:r>
            <w:r>
              <w:rPr>
                <w:sz w:val="18"/>
                <w:szCs w:val="18"/>
              </w:rPr>
              <w:br/>
              <w:t>   </w:t>
            </w:r>
            <w:r>
              <w:rPr>
                <w:sz w:val="18"/>
                <w:szCs w:val="18"/>
              </w:rPr>
              <w:t>Correctional Comple</w:t>
            </w:r>
            <w:r>
              <w:rPr>
                <w:sz w:val="18"/>
                <w:szCs w:val="18"/>
              </w:rPr>
              <w:t>x</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USM</w:t>
            </w:r>
            <w:r>
              <w:rPr>
                <w:sz w:val="18"/>
                <w:szCs w:val="18"/>
              </w:rPr>
              <w:t>S</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4,12</w:t>
            </w:r>
            <w:r>
              <w:rPr>
                <w:sz w:val="18"/>
                <w:szCs w:val="18"/>
              </w:rPr>
              <w:t>8</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Mult</w:t>
            </w:r>
            <w:r>
              <w:rPr>
                <w:sz w:val="18"/>
                <w:szCs w:val="18"/>
              </w:rPr>
              <w:t>i</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Detentio</w:t>
            </w:r>
            <w:r>
              <w:rPr>
                <w:sz w:val="18"/>
                <w:szCs w:val="18"/>
              </w:rPr>
              <w:t>n</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Sep-2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(1) 5 yea</w:t>
            </w:r>
            <w:r>
              <w:rPr>
                <w:sz w:val="18"/>
                <w:szCs w:val="18"/>
              </w:rPr>
              <w:t>r</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Florence, Arizon</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Eloy Detention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IC</w:t>
            </w:r>
            <w:r>
              <w:rPr>
                <w:sz w:val="18"/>
                <w:szCs w:val="18"/>
              </w:rPr>
              <w:t>E</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1,50</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Mediu</w:t>
            </w:r>
            <w:r>
              <w:rPr>
                <w:sz w:val="18"/>
                <w:szCs w:val="18"/>
              </w:rPr>
              <w:t>m</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Detentio</w:t>
            </w:r>
            <w:r>
              <w:rPr>
                <w:sz w:val="18"/>
                <w:szCs w:val="18"/>
              </w:rPr>
              <w:t>n</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Indefinit</w:t>
            </w:r>
            <w:r>
              <w:rPr>
                <w:sz w:val="18"/>
                <w:szCs w:val="18"/>
              </w:rPr>
              <w:t>e</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Eloy, Arizon</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La Palma Correctional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Arizon</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3,06</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Mult</w:t>
            </w:r>
            <w:r>
              <w:rPr>
                <w:sz w:val="18"/>
                <w:szCs w:val="18"/>
              </w:rPr>
              <w:t>i</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Correctiona</w:t>
            </w:r>
            <w:r>
              <w:rPr>
                <w:sz w:val="18"/>
                <w:szCs w:val="18"/>
              </w:rPr>
              <w:t>l</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Apr-2</w:t>
            </w:r>
            <w:r>
              <w:rPr>
                <w:sz w:val="18"/>
                <w:szCs w:val="18"/>
              </w:rPr>
              <w:t>7</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(1) 5 yea</w:t>
            </w:r>
            <w:r>
              <w:rPr>
                <w:sz w:val="18"/>
                <w:szCs w:val="18"/>
              </w:rPr>
              <w:t>r</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Eloy, Arizon</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Red Rock Correctional Center (D</w:t>
            </w:r>
            <w:r>
              <w:rPr>
                <w:sz w:val="18"/>
                <w:szCs w:val="18"/>
              </w:rPr>
              <w:t>)</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Arizon</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2,02</w:t>
            </w:r>
            <w:r>
              <w:rPr>
                <w:sz w:val="18"/>
                <w:szCs w:val="18"/>
              </w:rPr>
              <w:t>4</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Mediu</w:t>
            </w:r>
            <w:r>
              <w:rPr>
                <w:sz w:val="18"/>
                <w:szCs w:val="18"/>
              </w:rPr>
              <w:t>m</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Correctiona</w:t>
            </w:r>
            <w:r>
              <w:rPr>
                <w:sz w:val="18"/>
                <w:szCs w:val="18"/>
              </w:rPr>
              <w:t>l</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Jul-2</w:t>
            </w:r>
            <w:r>
              <w:rPr>
                <w:sz w:val="18"/>
                <w:szCs w:val="18"/>
              </w:rPr>
              <w:t>6</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(2) 5 yea</w:t>
            </w:r>
            <w:r>
              <w:rPr>
                <w:sz w:val="18"/>
                <w:szCs w:val="18"/>
              </w:rPr>
              <w:t>r</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Eloy, Arizon</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Saguaro Correctional Facilit</w:t>
            </w:r>
            <w:r>
              <w:rPr>
                <w:sz w:val="18"/>
                <w:szCs w:val="18"/>
              </w:rPr>
              <w:t>y</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Hawai</w:t>
            </w:r>
            <w:r>
              <w:rPr>
                <w:sz w:val="18"/>
                <w:szCs w:val="18"/>
              </w:rPr>
              <w:t>i</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1,89</w:t>
            </w:r>
            <w:r>
              <w:rPr>
                <w:sz w:val="18"/>
                <w:szCs w:val="18"/>
              </w:rPr>
              <w:t>6</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Mult</w:t>
            </w:r>
            <w:r>
              <w:rPr>
                <w:sz w:val="18"/>
                <w:szCs w:val="18"/>
              </w:rPr>
              <w:t>i</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Correctiona</w:t>
            </w:r>
            <w:r>
              <w:rPr>
                <w:sz w:val="18"/>
                <w:szCs w:val="18"/>
              </w:rPr>
              <w:t>l</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Jul-2</w:t>
            </w:r>
            <w:r>
              <w:rPr>
                <w:sz w:val="18"/>
                <w:szCs w:val="18"/>
              </w:rPr>
              <w:t>4</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(2) 1 yea</w:t>
            </w:r>
            <w:r>
              <w:rPr>
                <w:sz w:val="18"/>
                <w:szCs w:val="18"/>
              </w:rPr>
              <w:t>r</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Eloy, Arizon</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Leo Chesney Correctional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Idled 201</w:t>
            </w:r>
            <w:r>
              <w:rPr>
                <w:sz w:val="18"/>
                <w:szCs w:val="18"/>
              </w:rPr>
              <w:t>5</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24</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Live Oak, Californi</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Otay Mesa Detention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IC</w:t>
            </w:r>
            <w:r>
              <w:rPr>
                <w:sz w:val="18"/>
                <w:szCs w:val="18"/>
              </w:rPr>
              <w:t>E</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1,99</w:t>
            </w:r>
            <w:r>
              <w:rPr>
                <w:sz w:val="18"/>
                <w:szCs w:val="18"/>
              </w:rPr>
              <w:t>4</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Minimum</w:t>
            </w:r>
            <w:r>
              <w:rPr>
                <w:sz w:val="18"/>
                <w:szCs w:val="18"/>
              </w:rPr>
              <w:t>/</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Detentio</w:t>
            </w:r>
            <w:r>
              <w:rPr>
                <w:sz w:val="18"/>
                <w:szCs w:val="18"/>
              </w:rPr>
              <w:t>n</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Dec-2</w:t>
            </w:r>
            <w:r>
              <w:rPr>
                <w:sz w:val="18"/>
                <w:szCs w:val="18"/>
              </w:rPr>
              <w:t>4</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(2) 5 yea</w:t>
            </w:r>
            <w:r>
              <w:rPr>
                <w:sz w:val="18"/>
                <w:szCs w:val="18"/>
              </w:rPr>
              <w:t>r</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San Diego, Californi</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Mediu</w:t>
            </w:r>
            <w:r>
              <w:rPr>
                <w:sz w:val="18"/>
                <w:szCs w:val="18"/>
              </w:rPr>
              <w:t>m</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Bent County Correctional Facilit</w:t>
            </w:r>
            <w:r>
              <w:rPr>
                <w:sz w:val="18"/>
                <w:szCs w:val="18"/>
              </w:rPr>
              <w:t>y</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Colorad</w:t>
            </w:r>
            <w:r>
              <w:rPr>
                <w:sz w:val="18"/>
                <w:szCs w:val="18"/>
              </w:rPr>
              <w:t>o</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1,42</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Mediu</w:t>
            </w:r>
            <w:r>
              <w:rPr>
                <w:sz w:val="18"/>
                <w:szCs w:val="18"/>
              </w:rPr>
              <w:t>m</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Correctiona</w:t>
            </w:r>
            <w:r>
              <w:rPr>
                <w:sz w:val="18"/>
                <w:szCs w:val="18"/>
              </w:rPr>
              <w:t>l</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Jun-2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(3) 1 yea</w:t>
            </w:r>
            <w:r>
              <w:rPr>
                <w:sz w:val="18"/>
                <w:szCs w:val="18"/>
              </w:rPr>
              <w:t>r</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Las Animas, Colorad</w:t>
            </w:r>
            <w:r>
              <w:rPr>
                <w:sz w:val="18"/>
                <w:szCs w:val="18"/>
              </w:rPr>
              <w:t>o</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xml:space="preserve">Crowley County Correctional </w:t>
            </w:r>
            <w:r>
              <w:rPr>
                <w:sz w:val="18"/>
                <w:szCs w:val="18"/>
              </w:rPr>
              <w:br/>
              <w:t>   Facilit</w:t>
            </w:r>
            <w:r>
              <w:rPr>
                <w:sz w:val="18"/>
                <w:szCs w:val="18"/>
              </w:rPr>
              <w:t>y</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Colorad</w:t>
            </w:r>
            <w:r>
              <w:rPr>
                <w:sz w:val="18"/>
                <w:szCs w:val="18"/>
              </w:rPr>
              <w:t>o</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1,79</w:t>
            </w:r>
            <w:r>
              <w:rPr>
                <w:sz w:val="18"/>
                <w:szCs w:val="18"/>
              </w:rPr>
              <w:t>4</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Mediu</w:t>
            </w:r>
            <w:r>
              <w:rPr>
                <w:sz w:val="18"/>
                <w:szCs w:val="18"/>
              </w:rPr>
              <w:t>m</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Correctiona</w:t>
            </w:r>
            <w:r>
              <w:rPr>
                <w:sz w:val="18"/>
                <w:szCs w:val="18"/>
              </w:rPr>
              <w:t>l</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Jun-2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(3) 1 yea</w:t>
            </w:r>
            <w:r>
              <w:rPr>
                <w:sz w:val="18"/>
                <w:szCs w:val="18"/>
              </w:rPr>
              <w:t>r</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Olney Springs, Colorad</w:t>
            </w:r>
            <w:r>
              <w:rPr>
                <w:sz w:val="18"/>
                <w:szCs w:val="18"/>
              </w:rPr>
              <w:t>o</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Huerfano County Correctional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Idled 201</w:t>
            </w:r>
            <w:r>
              <w:rPr>
                <w:sz w:val="18"/>
                <w:szCs w:val="18"/>
              </w:rPr>
              <w:t>0</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75</w:t>
            </w:r>
            <w:r>
              <w:rPr>
                <w:sz w:val="18"/>
                <w:szCs w:val="18"/>
              </w:rPr>
              <w:t>2</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Mediu</w:t>
            </w:r>
            <w:r>
              <w:rPr>
                <w:sz w:val="18"/>
                <w:szCs w:val="18"/>
              </w:rPr>
              <w:t>m</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Correctiona</w:t>
            </w:r>
            <w:r>
              <w:rPr>
                <w:sz w:val="18"/>
                <w:szCs w:val="18"/>
              </w:rPr>
              <w:t>l</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Walsenburg, Colorad</w:t>
            </w:r>
            <w:r>
              <w:rPr>
                <w:sz w:val="18"/>
                <w:szCs w:val="18"/>
              </w:rPr>
              <w:t>o</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Kit Carson Correctional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Idled 201</w:t>
            </w:r>
            <w:r>
              <w:rPr>
                <w:sz w:val="18"/>
                <w:szCs w:val="18"/>
              </w:rPr>
              <w:t>6</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1,48</w:t>
            </w:r>
            <w:r>
              <w:rPr>
                <w:sz w:val="18"/>
                <w:szCs w:val="18"/>
              </w:rPr>
              <w:t>8</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Mediu</w:t>
            </w:r>
            <w:r>
              <w:rPr>
                <w:sz w:val="18"/>
                <w:szCs w:val="18"/>
              </w:rPr>
              <w:t>m</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Correctiona</w:t>
            </w:r>
            <w:r>
              <w:rPr>
                <w:sz w:val="18"/>
                <w:szCs w:val="18"/>
              </w:rPr>
              <w:t>l</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Burlington, Colorad</w:t>
            </w:r>
            <w:r>
              <w:rPr>
                <w:sz w:val="18"/>
                <w:szCs w:val="18"/>
              </w:rPr>
              <w:t>o</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Coffee Correctional Facility (E</w:t>
            </w:r>
            <w:r>
              <w:rPr>
                <w:sz w:val="18"/>
                <w:szCs w:val="18"/>
              </w:rPr>
              <w:t>)</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Georgi</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2,31</w:t>
            </w:r>
            <w:r>
              <w:rPr>
                <w:sz w:val="18"/>
                <w:szCs w:val="18"/>
              </w:rPr>
              <w:t>2</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Mediu</w:t>
            </w:r>
            <w:r>
              <w:rPr>
                <w:sz w:val="18"/>
                <w:szCs w:val="18"/>
              </w:rPr>
              <w:t>m</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Correctiona</w:t>
            </w:r>
            <w:r>
              <w:rPr>
                <w:sz w:val="18"/>
                <w:szCs w:val="18"/>
              </w:rPr>
              <w:t>l</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Jun-2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(11) 1 yea</w:t>
            </w:r>
            <w:r>
              <w:rPr>
                <w:sz w:val="18"/>
                <w:szCs w:val="18"/>
              </w:rPr>
              <w:t>r</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Nicholls, Georgi</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Jenkins Correctional Center (E</w:t>
            </w:r>
            <w:r>
              <w:rPr>
                <w:sz w:val="18"/>
                <w:szCs w:val="18"/>
              </w:rPr>
              <w:t>)</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Georgi</w:t>
            </w:r>
            <w:r>
              <w:rPr>
                <w:sz w:val="18"/>
                <w:szCs w:val="18"/>
              </w:rPr>
              <w:t>a</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1,12</w:t>
            </w:r>
            <w:r>
              <w:rPr>
                <w:sz w:val="18"/>
                <w:szCs w:val="18"/>
              </w:rPr>
              <w:t>4</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Mediu</w:t>
            </w:r>
            <w:r>
              <w:rPr>
                <w:sz w:val="18"/>
                <w:szCs w:val="18"/>
              </w:rPr>
              <w:t>m</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Correctiona</w:t>
            </w:r>
            <w:r>
              <w:rPr>
                <w:sz w:val="18"/>
                <w:szCs w:val="18"/>
              </w:rPr>
              <w:t>l</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Jun-2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(12) 1 yea</w:t>
            </w:r>
            <w:r>
              <w:rPr>
                <w:sz w:val="18"/>
                <w:szCs w:val="18"/>
              </w:rPr>
              <w:t>r</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Millen, Georgi</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Stewart Detention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IC</w:t>
            </w:r>
            <w:r>
              <w:rPr>
                <w:sz w:val="18"/>
                <w:szCs w:val="18"/>
              </w:rPr>
              <w:t>E</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1,75</w:t>
            </w:r>
            <w:r>
              <w:rPr>
                <w:sz w:val="18"/>
                <w:szCs w:val="18"/>
              </w:rPr>
              <w:t>2</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Mediu</w:t>
            </w:r>
            <w:r>
              <w:rPr>
                <w:sz w:val="18"/>
                <w:szCs w:val="18"/>
              </w:rPr>
              <w:t>m</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Detentio</w:t>
            </w:r>
            <w:r>
              <w:rPr>
                <w:sz w:val="18"/>
                <w:szCs w:val="18"/>
              </w:rPr>
              <w:t>n</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Indefinit</w:t>
            </w:r>
            <w:r>
              <w:rPr>
                <w:sz w:val="18"/>
                <w:szCs w:val="18"/>
              </w:rPr>
              <w:t>e</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Lumpkin, Georgi</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Wheeler Correctional Facility (E</w:t>
            </w:r>
            <w:r>
              <w:rPr>
                <w:sz w:val="18"/>
                <w:szCs w:val="18"/>
              </w:rPr>
              <w:t>)</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Georgi</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2,31</w:t>
            </w:r>
            <w:r>
              <w:rPr>
                <w:sz w:val="18"/>
                <w:szCs w:val="18"/>
              </w:rPr>
              <w:t>2</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Mediu</w:t>
            </w:r>
            <w:r>
              <w:rPr>
                <w:sz w:val="18"/>
                <w:szCs w:val="18"/>
              </w:rPr>
              <w:t>m</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Correctiona</w:t>
            </w:r>
            <w:r>
              <w:rPr>
                <w:sz w:val="18"/>
                <w:szCs w:val="18"/>
              </w:rPr>
              <w:t>l</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Jun-2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(11) 1 yea</w:t>
            </w:r>
            <w:r>
              <w:rPr>
                <w:sz w:val="18"/>
                <w:szCs w:val="18"/>
              </w:rPr>
              <w:t>r</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Alamo, Georgi</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Midwest Regional Reception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Idled 202</w:t>
            </w:r>
            <w:r>
              <w:rPr>
                <w:sz w:val="18"/>
                <w:szCs w:val="18"/>
              </w:rPr>
              <w:t>1</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1,03</w:t>
            </w:r>
            <w:r>
              <w:rPr>
                <w:sz w:val="18"/>
                <w:szCs w:val="18"/>
              </w:rPr>
              <w:t>3</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Mult</w:t>
            </w:r>
            <w:r>
              <w:rPr>
                <w:sz w:val="18"/>
                <w:szCs w:val="18"/>
              </w:rPr>
              <w:t>i</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Detentio</w:t>
            </w:r>
            <w:r>
              <w:rPr>
                <w:sz w:val="18"/>
                <w:szCs w:val="18"/>
              </w:rPr>
              <w:t>n</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Leavenworth, Kansa</w:t>
            </w:r>
            <w:r>
              <w:rPr>
                <w:sz w:val="18"/>
                <w:szCs w:val="18"/>
              </w:rPr>
              <w:t>s</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Lee Adjustment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Commonwealth o</w:t>
            </w:r>
            <w:r>
              <w:rPr>
                <w:sz w:val="18"/>
                <w:szCs w:val="18"/>
              </w:rPr>
              <w:t>f</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81</w:t>
            </w:r>
            <w:r>
              <w:rPr>
                <w:sz w:val="18"/>
                <w:szCs w:val="18"/>
              </w:rPr>
              <w:t>6</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Mult</w:t>
            </w:r>
            <w:r>
              <w:rPr>
                <w:sz w:val="18"/>
                <w:szCs w:val="18"/>
              </w:rPr>
              <w:t>i</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Correctiona</w:t>
            </w:r>
            <w:r>
              <w:rPr>
                <w:sz w:val="18"/>
                <w:szCs w:val="18"/>
              </w:rPr>
              <w:t>l</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Jun-2</w:t>
            </w:r>
            <w:r>
              <w:rPr>
                <w:sz w:val="18"/>
                <w:szCs w:val="18"/>
              </w:rPr>
              <w:t>5</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(3) 2 yea</w:t>
            </w:r>
            <w:r>
              <w:rPr>
                <w:sz w:val="18"/>
                <w:szCs w:val="18"/>
              </w:rPr>
              <w:t>r</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Beattyville, Kentuck</w:t>
            </w:r>
            <w:r>
              <w:rPr>
                <w:sz w:val="18"/>
                <w:szCs w:val="18"/>
              </w:rPr>
              <w:t>y</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Kentuck</w:t>
            </w:r>
            <w:r>
              <w:rPr>
                <w:sz w:val="18"/>
                <w:szCs w:val="18"/>
              </w:rPr>
              <w:t>y</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bl>
    <w:p w:rsidR="00000000" w:rsidRDefault="006D723D">
      <w:pPr>
        <w:pStyle w:val="a3"/>
        <w:spacing w:before="240" w:beforeAutospacing="0" w:after="0" w:afterAutospacing="0"/>
        <w:jc w:val="center"/>
        <w:rPr>
          <w:sz w:val="20"/>
          <w:szCs w:val="20"/>
        </w:rPr>
      </w:pPr>
      <w:r>
        <w:rPr>
          <w:sz w:val="20"/>
          <w:szCs w:val="20"/>
        </w:rPr>
        <w:t>2</w:t>
      </w:r>
      <w:r>
        <w:rPr>
          <w:sz w:val="20"/>
          <w:szCs w:val="20"/>
        </w:rPr>
        <w:t>2</w:t>
      </w:r>
    </w:p>
    <w:p w:rsidR="00000000" w:rsidRDefault="006D723D">
      <w:pPr>
        <w:rPr>
          <w:rFonts w:eastAsia="Times New Roman"/>
        </w:rPr>
      </w:pPr>
      <w:r>
        <w:rPr>
          <w:rFonts w:eastAsia="Times New Roman"/>
        </w:rPr>
        <w:pict>
          <v:rect id="_x0000_i1046"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87"/>
        <w:gridCol w:w="105"/>
        <w:gridCol w:w="1017"/>
        <w:gridCol w:w="105"/>
        <w:gridCol w:w="125"/>
        <w:gridCol w:w="549"/>
        <w:gridCol w:w="105"/>
        <w:gridCol w:w="105"/>
        <w:gridCol w:w="831"/>
        <w:gridCol w:w="105"/>
        <w:gridCol w:w="105"/>
        <w:gridCol w:w="960"/>
        <w:gridCol w:w="105"/>
        <w:gridCol w:w="105"/>
        <w:gridCol w:w="118"/>
        <w:gridCol w:w="642"/>
        <w:gridCol w:w="105"/>
        <w:gridCol w:w="105"/>
        <w:gridCol w:w="229"/>
        <w:gridCol w:w="578"/>
        <w:gridCol w:w="120"/>
      </w:tblGrid>
      <w:tr w:rsidR="00000000">
        <w:trPr>
          <w:tblCellSpacing w:w="15" w:type="dxa"/>
        </w:trPr>
        <w:tc>
          <w:tcPr>
            <w:tcW w:w="1560" w:type="pct"/>
            <w:vAlign w:val="center"/>
            <w:hideMark/>
          </w:tcPr>
          <w:p w:rsidR="00000000" w:rsidRDefault="006D723D">
            <w:pPr>
              <w:rPr>
                <w:sz w:val="20"/>
                <w:szCs w:val="20"/>
              </w:rPr>
            </w:pPr>
          </w:p>
        </w:tc>
        <w:tc>
          <w:tcPr>
            <w:tcW w:w="3" w:type="pct"/>
            <w:vAlign w:val="center"/>
            <w:hideMark/>
          </w:tcPr>
          <w:p w:rsidR="00000000" w:rsidRDefault="006D723D">
            <w:pPr>
              <w:rPr>
                <w:rFonts w:eastAsia="Times New Roman"/>
                <w:sz w:val="20"/>
                <w:szCs w:val="20"/>
              </w:rPr>
            </w:pPr>
          </w:p>
        </w:tc>
        <w:tc>
          <w:tcPr>
            <w:tcW w:w="871"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7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737" w:type="pct"/>
            <w:vAlign w:val="center"/>
            <w:hideMark/>
          </w:tcPr>
          <w:p w:rsidR="00000000" w:rsidRDefault="006D723D">
            <w:pPr>
              <w:rPr>
                <w:rFonts w:eastAsia="Times New Roman"/>
                <w:sz w:val="20"/>
                <w:szCs w:val="20"/>
              </w:rPr>
            </w:pPr>
          </w:p>
        </w:tc>
        <w:tc>
          <w:tcPr>
            <w:tcW w:w="36"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674" w:type="pct"/>
            <w:vAlign w:val="center"/>
            <w:hideMark/>
          </w:tcPr>
          <w:p w:rsidR="00000000" w:rsidRDefault="006D723D">
            <w:pPr>
              <w:rPr>
                <w:rFonts w:eastAsia="Times New Roman"/>
                <w:sz w:val="20"/>
                <w:szCs w:val="20"/>
              </w:rPr>
            </w:pPr>
          </w:p>
        </w:tc>
        <w:tc>
          <w:tcPr>
            <w:tcW w:w="36"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4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13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b/>
                <w:bCs/>
                <w:sz w:val="16"/>
                <w:szCs w:val="16"/>
              </w:rPr>
              <w:t>Facility Nam</w:t>
            </w:r>
            <w:r>
              <w:rPr>
                <w:b/>
                <w:bCs/>
                <w:sz w:val="16"/>
                <w:szCs w:val="16"/>
              </w:rPr>
              <w:t>e</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b/>
                <w:bCs/>
                <w:sz w:val="16"/>
                <w:szCs w:val="16"/>
              </w:rPr>
              <w:t>Primary Custome</w:t>
            </w:r>
            <w:r>
              <w:rPr>
                <w:b/>
                <w:bCs/>
                <w:sz w:val="16"/>
                <w:szCs w:val="16"/>
              </w:rPr>
              <w:t>r</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Design</w:t>
            </w:r>
            <w:r>
              <w:rPr>
                <w:b/>
                <w:bCs/>
                <w:sz w:val="16"/>
                <w:szCs w:val="16"/>
              </w:rPr>
              <w:br/>
              <w:t>Capacity</w:t>
            </w:r>
            <w:r>
              <w:rPr>
                <w:b/>
                <w:bCs/>
                <w:sz w:val="16"/>
                <w:szCs w:val="16"/>
              </w:rPr>
              <w:br/>
              <w:t>(A</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b/>
                <w:bCs/>
                <w:sz w:val="16"/>
                <w:szCs w:val="16"/>
              </w:rPr>
              <w:t>Security Leve</w:t>
            </w:r>
            <w:r>
              <w:rPr>
                <w:b/>
                <w:bCs/>
                <w:sz w:val="16"/>
                <w:szCs w:val="16"/>
              </w:rPr>
              <w:t>l</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b/>
                <w:bCs/>
                <w:sz w:val="16"/>
                <w:szCs w:val="16"/>
              </w:rPr>
              <w:t>Facility Type</w:t>
            </w:r>
            <w:r>
              <w:rPr>
                <w:b/>
                <w:bCs/>
                <w:sz w:val="16"/>
                <w:szCs w:val="16"/>
              </w:rPr>
              <w:br/>
              <w:t>(B</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Ter</w:t>
            </w:r>
            <w:r>
              <w:rPr>
                <w:b/>
                <w:bCs/>
                <w:sz w:val="16"/>
                <w:szCs w:val="16"/>
              </w:rPr>
              <w:t>m</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Remaining</w:t>
            </w:r>
            <w:r>
              <w:rPr>
                <w:b/>
                <w:bCs/>
                <w:sz w:val="16"/>
                <w:szCs w:val="16"/>
              </w:rPr>
              <w:br/>
              <w:t>Renewal Options</w:t>
            </w:r>
            <w:r>
              <w:rPr>
                <w:b/>
                <w:bCs/>
                <w:sz w:val="16"/>
                <w:szCs w:val="16"/>
              </w:rPr>
              <w:br/>
              <w:t>(C</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Marion Adjustment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Idled 201</w:t>
            </w:r>
            <w:r>
              <w:rPr>
                <w:sz w:val="18"/>
                <w:szCs w:val="18"/>
              </w:rPr>
              <w:t>3</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82</w:t>
            </w:r>
            <w:r>
              <w:rPr>
                <w:sz w:val="18"/>
                <w:szCs w:val="18"/>
              </w:rPr>
              <w:t>6</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Minimum</w:t>
            </w:r>
            <w:r>
              <w:rPr>
                <w:sz w:val="18"/>
                <w:szCs w:val="18"/>
              </w:rPr>
              <w:t>/</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Correctiona</w:t>
            </w:r>
            <w:r>
              <w:rPr>
                <w:sz w:val="18"/>
                <w:szCs w:val="18"/>
              </w:rPr>
              <w:t>l</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St. Mary, Kentuck</w:t>
            </w:r>
            <w:r>
              <w:rPr>
                <w:sz w:val="18"/>
                <w:szCs w:val="18"/>
              </w:rPr>
              <w:t>y</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Mediu</w:t>
            </w:r>
            <w:r>
              <w:rPr>
                <w:sz w:val="18"/>
                <w:szCs w:val="18"/>
              </w:rPr>
              <w:t>m</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Prairie Correctional Facilit</w:t>
            </w:r>
            <w:r>
              <w:rPr>
                <w:sz w:val="18"/>
                <w:szCs w:val="18"/>
              </w:rPr>
              <w:t>y</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Idled 201</w:t>
            </w:r>
            <w:r>
              <w:rPr>
                <w:sz w:val="18"/>
                <w:szCs w:val="18"/>
              </w:rPr>
              <w:t>0</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1,60</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Mediu</w:t>
            </w:r>
            <w:r>
              <w:rPr>
                <w:sz w:val="18"/>
                <w:szCs w:val="18"/>
              </w:rPr>
              <w:t>m</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Correctiona</w:t>
            </w:r>
            <w:r>
              <w:rPr>
                <w:sz w:val="18"/>
                <w:szCs w:val="18"/>
              </w:rPr>
              <w:t>l</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Appleton, Minnesot</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Adams County Correctional Cente</w:t>
            </w:r>
            <w:r>
              <w:rPr>
                <w:sz w:val="18"/>
                <w:szCs w:val="18"/>
              </w:rPr>
              <w:t>r</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IC</w:t>
            </w:r>
            <w:r>
              <w:rPr>
                <w:sz w:val="18"/>
                <w:szCs w:val="18"/>
              </w:rPr>
              <w:t>E</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2,23</w:t>
            </w:r>
            <w:r>
              <w:rPr>
                <w:sz w:val="18"/>
                <w:szCs w:val="18"/>
              </w:rPr>
              <w:t>2</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Mediu</w:t>
            </w:r>
            <w:r>
              <w:rPr>
                <w:sz w:val="18"/>
                <w:szCs w:val="18"/>
              </w:rPr>
              <w:t>m</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Detentio</w:t>
            </w:r>
            <w:r>
              <w:rPr>
                <w:sz w:val="18"/>
                <w:szCs w:val="18"/>
              </w:rPr>
              <w:t>n</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Aug-2</w:t>
            </w:r>
            <w:r>
              <w:rPr>
                <w:sz w:val="18"/>
                <w:szCs w:val="18"/>
              </w:rPr>
              <w:t>4</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Indefinit</w:t>
            </w:r>
            <w:r>
              <w:rPr>
                <w:sz w:val="18"/>
                <w:szCs w:val="18"/>
              </w:rPr>
              <w:t>e</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Adams County, Mississipp</w:t>
            </w:r>
            <w:r>
              <w:rPr>
                <w:sz w:val="18"/>
                <w:szCs w:val="18"/>
              </w:rPr>
              <w:t>i</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xml:space="preserve">Tallahatchie County Correctional </w:t>
            </w:r>
            <w:r>
              <w:rPr>
                <w:sz w:val="18"/>
                <w:szCs w:val="18"/>
              </w:rPr>
              <w:br/>
              <w:t>   Facility (F</w:t>
            </w:r>
            <w:r>
              <w:rPr>
                <w:sz w:val="18"/>
                <w:szCs w:val="18"/>
              </w:rPr>
              <w:t>)</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USM</w:t>
            </w:r>
            <w:r>
              <w:rPr>
                <w:sz w:val="18"/>
                <w:szCs w:val="18"/>
              </w:rPr>
              <w:t>S</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2,67</w:t>
            </w:r>
            <w:r>
              <w:rPr>
                <w:sz w:val="18"/>
                <w:szCs w:val="18"/>
              </w:rPr>
              <w:t>2</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Mult</w:t>
            </w:r>
            <w:r>
              <w:rPr>
                <w:sz w:val="18"/>
                <w:szCs w:val="18"/>
              </w:rPr>
              <w:t>i</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Correctiona</w:t>
            </w:r>
            <w:r>
              <w:rPr>
                <w:sz w:val="18"/>
                <w:szCs w:val="18"/>
              </w:rPr>
              <w:t>l</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Jun-2</w:t>
            </w:r>
            <w:r>
              <w:rPr>
                <w:sz w:val="18"/>
                <w:szCs w:val="18"/>
              </w:rPr>
              <w:t>4</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Indefinit</w:t>
            </w:r>
            <w:r>
              <w:rPr>
                <w:sz w:val="18"/>
                <w:szCs w:val="18"/>
              </w:rPr>
              <w:t>e</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Tutwiler, Mississipp</w:t>
            </w:r>
            <w:r>
              <w:rPr>
                <w:sz w:val="18"/>
                <w:szCs w:val="18"/>
              </w:rPr>
              <w:t>i</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Crossroads Correctional Center (G</w:t>
            </w:r>
            <w:r>
              <w:rPr>
                <w:sz w:val="18"/>
                <w:szCs w:val="18"/>
              </w:rPr>
              <w:t>)</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Montan</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66</w:t>
            </w:r>
            <w:r>
              <w:rPr>
                <w:sz w:val="18"/>
                <w:szCs w:val="18"/>
              </w:rPr>
              <w:t>4</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Mult</w:t>
            </w:r>
            <w:r>
              <w:rPr>
                <w:sz w:val="18"/>
                <w:szCs w:val="18"/>
              </w:rPr>
              <w:t>i</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Correctiona</w:t>
            </w:r>
            <w:r>
              <w:rPr>
                <w:sz w:val="18"/>
                <w:szCs w:val="18"/>
              </w:rPr>
              <w:t>l</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Jun-2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(3) 2 yea</w:t>
            </w:r>
            <w:r>
              <w:rPr>
                <w:sz w:val="18"/>
                <w:szCs w:val="18"/>
              </w:rPr>
              <w:t>r</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Shelby, Montan</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Nevada Southern Detention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USM</w:t>
            </w:r>
            <w:r>
              <w:rPr>
                <w:sz w:val="18"/>
                <w:szCs w:val="18"/>
              </w:rPr>
              <w:t>S</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1,07</w:t>
            </w:r>
            <w:r>
              <w:rPr>
                <w:sz w:val="18"/>
                <w:szCs w:val="18"/>
              </w:rPr>
              <w:t>2</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Mediu</w:t>
            </w:r>
            <w:r>
              <w:rPr>
                <w:sz w:val="18"/>
                <w:szCs w:val="18"/>
              </w:rPr>
              <w:t>m</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Detentio</w:t>
            </w:r>
            <w:r>
              <w:rPr>
                <w:sz w:val="18"/>
                <w:szCs w:val="18"/>
              </w:rPr>
              <w:t>n</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Sep-2</w:t>
            </w:r>
            <w:r>
              <w:rPr>
                <w:sz w:val="18"/>
                <w:szCs w:val="18"/>
              </w:rPr>
              <w:t>5</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(1) 5 yea</w:t>
            </w:r>
            <w:r>
              <w:rPr>
                <w:sz w:val="18"/>
                <w:szCs w:val="18"/>
              </w:rPr>
              <w:t>r</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Pahrump, Nevad</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Elizabeth Detention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IC</w:t>
            </w:r>
            <w:r>
              <w:rPr>
                <w:sz w:val="18"/>
                <w:szCs w:val="18"/>
              </w:rPr>
              <w:t>E</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30</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Minimu</w:t>
            </w:r>
            <w:r>
              <w:rPr>
                <w:sz w:val="18"/>
                <w:szCs w:val="18"/>
              </w:rPr>
              <w:t>m</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Detentio</w:t>
            </w:r>
            <w:r>
              <w:rPr>
                <w:sz w:val="18"/>
                <w:szCs w:val="18"/>
              </w:rPr>
              <w:t>n</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Aug-2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Elizabeth, New Jerse</w:t>
            </w:r>
            <w:r>
              <w:rPr>
                <w:sz w:val="18"/>
                <w:szCs w:val="18"/>
              </w:rPr>
              <w:t>y</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Cibola County Corrections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USM</w:t>
            </w:r>
            <w:r>
              <w:rPr>
                <w:sz w:val="18"/>
                <w:szCs w:val="18"/>
              </w:rPr>
              <w:t>S</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1,12</w:t>
            </w:r>
            <w:r>
              <w:rPr>
                <w:sz w:val="18"/>
                <w:szCs w:val="18"/>
              </w:rPr>
              <w:t>9</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Mediu</w:t>
            </w:r>
            <w:r>
              <w:rPr>
                <w:sz w:val="18"/>
                <w:szCs w:val="18"/>
              </w:rPr>
              <w:t>m</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Detentio</w:t>
            </w:r>
            <w:r>
              <w:rPr>
                <w:sz w:val="18"/>
                <w:szCs w:val="18"/>
              </w:rPr>
              <w:t>n</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Indefinit</w:t>
            </w:r>
            <w:r>
              <w:rPr>
                <w:sz w:val="18"/>
                <w:szCs w:val="18"/>
              </w:rPr>
              <w:t>e</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Milan, New Mexic</w:t>
            </w:r>
            <w:r>
              <w:rPr>
                <w:sz w:val="18"/>
                <w:szCs w:val="18"/>
              </w:rPr>
              <w:t>o</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Torrance County Detention Facilit</w:t>
            </w:r>
            <w:r>
              <w:rPr>
                <w:sz w:val="18"/>
                <w:szCs w:val="18"/>
              </w:rPr>
              <w:t>y</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IC</w:t>
            </w:r>
            <w:r>
              <w:rPr>
                <w:sz w:val="18"/>
                <w:szCs w:val="18"/>
              </w:rPr>
              <w:t>E</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91</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Mult</w:t>
            </w:r>
            <w:r>
              <w:rPr>
                <w:sz w:val="18"/>
                <w:szCs w:val="18"/>
              </w:rPr>
              <w:t>i</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Detentio</w:t>
            </w:r>
            <w:r>
              <w:rPr>
                <w:sz w:val="18"/>
                <w:szCs w:val="18"/>
              </w:rPr>
              <w:t>n</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May-2</w:t>
            </w:r>
            <w:r>
              <w:rPr>
                <w:sz w:val="18"/>
                <w:szCs w:val="18"/>
              </w:rPr>
              <w:t>4</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Indefinit</w:t>
            </w:r>
            <w:r>
              <w:rPr>
                <w:sz w:val="18"/>
                <w:szCs w:val="18"/>
              </w:rPr>
              <w:t>e</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Estancia, New Mexic</w:t>
            </w:r>
            <w:r>
              <w:rPr>
                <w:sz w:val="18"/>
                <w:szCs w:val="18"/>
              </w:rPr>
              <w:t>o</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xml:space="preserve">Lake Erie Correctional </w:t>
            </w:r>
            <w:r>
              <w:rPr>
                <w:sz w:val="18"/>
                <w:szCs w:val="18"/>
              </w:rPr>
              <w:br/>
              <w:t>  </w:t>
            </w:r>
            <w:r>
              <w:rPr>
                <w:sz w:val="18"/>
                <w:szCs w:val="18"/>
              </w:rPr>
              <w:t>Institution (H</w:t>
            </w:r>
            <w:r>
              <w:rPr>
                <w:sz w:val="18"/>
                <w:szCs w:val="18"/>
              </w:rPr>
              <w:t>)</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Ohi</w:t>
            </w:r>
            <w:r>
              <w:rPr>
                <w:sz w:val="18"/>
                <w:szCs w:val="18"/>
              </w:rPr>
              <w:t>o</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1,79</w:t>
            </w:r>
            <w:r>
              <w:rPr>
                <w:sz w:val="18"/>
                <w:szCs w:val="18"/>
              </w:rPr>
              <w:t>8</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Mediu</w:t>
            </w:r>
            <w:r>
              <w:rPr>
                <w:sz w:val="18"/>
                <w:szCs w:val="18"/>
              </w:rPr>
              <w:t>m</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Correctiona</w:t>
            </w:r>
            <w:r>
              <w:rPr>
                <w:sz w:val="18"/>
                <w:szCs w:val="18"/>
              </w:rPr>
              <w:t>l</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Jun-3</w:t>
            </w:r>
            <w:r>
              <w:rPr>
                <w:sz w:val="18"/>
                <w:szCs w:val="18"/>
              </w:rPr>
              <w:t>2</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Indefinit</w:t>
            </w:r>
            <w:r>
              <w:rPr>
                <w:sz w:val="18"/>
                <w:szCs w:val="18"/>
              </w:rPr>
              <w:t>e</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Conneaut, Ohi</w:t>
            </w:r>
            <w:r>
              <w:rPr>
                <w:sz w:val="18"/>
                <w:szCs w:val="18"/>
              </w:rPr>
              <w:t>o</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Northeast Ohio Correctional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Ohi</w:t>
            </w:r>
            <w:r>
              <w:rPr>
                <w:sz w:val="18"/>
                <w:szCs w:val="18"/>
              </w:rPr>
              <w:t>o</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2,01</w:t>
            </w:r>
            <w:r>
              <w:rPr>
                <w:sz w:val="18"/>
                <w:szCs w:val="18"/>
              </w:rPr>
              <w:t>6</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Mediu</w:t>
            </w:r>
            <w:r>
              <w:rPr>
                <w:sz w:val="18"/>
                <w:szCs w:val="18"/>
              </w:rPr>
              <w:t>m</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Correctiona</w:t>
            </w:r>
            <w:r>
              <w:rPr>
                <w:sz w:val="18"/>
                <w:szCs w:val="18"/>
              </w:rPr>
              <w:t>l</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Jun-3</w:t>
            </w:r>
            <w:r>
              <w:rPr>
                <w:sz w:val="18"/>
                <w:szCs w:val="18"/>
              </w:rPr>
              <w:t>2</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Indefinit</w:t>
            </w:r>
            <w:r>
              <w:rPr>
                <w:sz w:val="18"/>
                <w:szCs w:val="18"/>
              </w:rPr>
              <w:t>e</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Youngstown, Ohi</w:t>
            </w:r>
            <w:r>
              <w:rPr>
                <w:sz w:val="18"/>
                <w:szCs w:val="18"/>
              </w:rPr>
              <w:t>o</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Cimarron Correctional Facilit</w:t>
            </w:r>
            <w:r>
              <w:rPr>
                <w:sz w:val="18"/>
                <w:szCs w:val="18"/>
              </w:rPr>
              <w:t>y</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USM</w:t>
            </w:r>
            <w:r>
              <w:rPr>
                <w:sz w:val="18"/>
                <w:szCs w:val="18"/>
              </w:rPr>
              <w:t>S</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1,60</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Mult</w:t>
            </w:r>
            <w:r>
              <w:rPr>
                <w:sz w:val="18"/>
                <w:szCs w:val="18"/>
              </w:rPr>
              <w:t>i</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Detentio</w:t>
            </w:r>
            <w:r>
              <w:rPr>
                <w:sz w:val="18"/>
                <w:szCs w:val="18"/>
              </w:rPr>
              <w:t>n</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Sep-2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Indefinit</w:t>
            </w:r>
            <w:r>
              <w:rPr>
                <w:sz w:val="18"/>
                <w:szCs w:val="18"/>
              </w:rPr>
              <w:t>e</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Cushing, Oklahom</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Davis Correctional Facility (I</w:t>
            </w:r>
            <w:r>
              <w:rPr>
                <w:sz w:val="18"/>
                <w:szCs w:val="18"/>
              </w:rPr>
              <w:t>)</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Oklahom</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1,67</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Mult</w:t>
            </w:r>
            <w:r>
              <w:rPr>
                <w:sz w:val="18"/>
                <w:szCs w:val="18"/>
              </w:rPr>
              <w:t>i</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Correctiona</w:t>
            </w:r>
            <w:r>
              <w:rPr>
                <w:sz w:val="18"/>
                <w:szCs w:val="18"/>
              </w:rPr>
              <w:t>l</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Jun-2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Holdenville, Oklahom</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Diamondback Correctional Facilit</w:t>
            </w:r>
            <w:r>
              <w:rPr>
                <w:sz w:val="18"/>
                <w:szCs w:val="18"/>
              </w:rPr>
              <w:t>y</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Idled 201</w:t>
            </w:r>
            <w:r>
              <w:rPr>
                <w:sz w:val="18"/>
                <w:szCs w:val="18"/>
              </w:rPr>
              <w:t>0</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2,16</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Mult</w:t>
            </w:r>
            <w:r>
              <w:rPr>
                <w:sz w:val="18"/>
                <w:szCs w:val="18"/>
              </w:rPr>
              <w:t>i</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Correctiona</w:t>
            </w:r>
            <w:r>
              <w:rPr>
                <w:sz w:val="18"/>
                <w:szCs w:val="18"/>
              </w:rPr>
              <w:t>l</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Watonga, Oklahom</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Trousdale Turner Correctional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Tennesse</w:t>
            </w:r>
            <w:r>
              <w:rPr>
                <w:sz w:val="18"/>
                <w:szCs w:val="18"/>
              </w:rPr>
              <w:t>e</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2,55</w:t>
            </w:r>
            <w:r>
              <w:rPr>
                <w:sz w:val="18"/>
                <w:szCs w:val="18"/>
              </w:rPr>
              <w:t>2</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Mult</w:t>
            </w:r>
            <w:r>
              <w:rPr>
                <w:sz w:val="18"/>
                <w:szCs w:val="18"/>
              </w:rPr>
              <w:t>i</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Correctiona</w:t>
            </w:r>
            <w:r>
              <w:rPr>
                <w:sz w:val="18"/>
                <w:szCs w:val="18"/>
              </w:rPr>
              <w:t>l</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Jun-2</w:t>
            </w:r>
            <w:r>
              <w:rPr>
                <w:sz w:val="18"/>
                <w:szCs w:val="18"/>
              </w:rPr>
              <w:t>6</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Hartsville, Tennesse</w:t>
            </w:r>
            <w:r>
              <w:rPr>
                <w:sz w:val="18"/>
                <w:szCs w:val="18"/>
              </w:rPr>
              <w:t>e</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West Tennessee Detention Facilit</w:t>
            </w:r>
            <w:r>
              <w:rPr>
                <w:sz w:val="18"/>
                <w:szCs w:val="18"/>
              </w:rPr>
              <w:t>y</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Idled 202</w:t>
            </w:r>
            <w:r>
              <w:rPr>
                <w:sz w:val="18"/>
                <w:szCs w:val="18"/>
              </w:rPr>
              <w:t>1</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60</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Mult</w:t>
            </w:r>
            <w:r>
              <w:rPr>
                <w:sz w:val="18"/>
                <w:szCs w:val="18"/>
              </w:rPr>
              <w:t>i</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Detentio</w:t>
            </w:r>
            <w:r>
              <w:rPr>
                <w:sz w:val="18"/>
                <w:szCs w:val="18"/>
              </w:rPr>
              <w:t>n</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Mason, Tennesse</w:t>
            </w:r>
            <w:r>
              <w:rPr>
                <w:sz w:val="18"/>
                <w:szCs w:val="18"/>
              </w:rPr>
              <w:t>e</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Whiteville Correctional Facility (J</w:t>
            </w:r>
            <w:r>
              <w:rPr>
                <w:sz w:val="18"/>
                <w:szCs w:val="18"/>
              </w:rPr>
              <w:t>)</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Tennesse</w:t>
            </w:r>
            <w:r>
              <w:rPr>
                <w:sz w:val="18"/>
                <w:szCs w:val="18"/>
              </w:rPr>
              <w:t>e</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1,53</w:t>
            </w:r>
            <w:r>
              <w:rPr>
                <w:sz w:val="18"/>
                <w:szCs w:val="18"/>
              </w:rPr>
              <w:t>6</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Mediu</w:t>
            </w:r>
            <w:r>
              <w:rPr>
                <w:sz w:val="18"/>
                <w:szCs w:val="18"/>
              </w:rPr>
              <w:t>m</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Correctiona</w:t>
            </w:r>
            <w:r>
              <w:rPr>
                <w:sz w:val="18"/>
                <w:szCs w:val="18"/>
              </w:rPr>
              <w:t>l</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Jun-2</w:t>
            </w:r>
            <w:r>
              <w:rPr>
                <w:sz w:val="18"/>
                <w:szCs w:val="18"/>
              </w:rPr>
              <w:t>6</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Whiteville, Tennesse</w:t>
            </w:r>
            <w:r>
              <w:rPr>
                <w:sz w:val="18"/>
                <w:szCs w:val="18"/>
              </w:rPr>
              <w:t>e</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bl>
    <w:p w:rsidR="00000000" w:rsidRDefault="006D723D">
      <w:pPr>
        <w:pStyle w:val="a3"/>
        <w:spacing w:before="240" w:beforeAutospacing="0" w:after="0" w:afterAutospacing="0"/>
        <w:jc w:val="center"/>
        <w:rPr>
          <w:sz w:val="20"/>
          <w:szCs w:val="20"/>
        </w:rPr>
      </w:pPr>
      <w:r>
        <w:rPr>
          <w:sz w:val="20"/>
          <w:szCs w:val="20"/>
        </w:rPr>
        <w:t>2</w:t>
      </w:r>
      <w:r>
        <w:rPr>
          <w:sz w:val="20"/>
          <w:szCs w:val="20"/>
        </w:rPr>
        <w:t>3</w:t>
      </w:r>
    </w:p>
    <w:p w:rsidR="00000000" w:rsidRDefault="006D723D">
      <w:pPr>
        <w:rPr>
          <w:rFonts w:eastAsia="Times New Roman"/>
        </w:rPr>
      </w:pPr>
      <w:r>
        <w:rPr>
          <w:rFonts w:eastAsia="Times New Roman"/>
        </w:rPr>
        <w:pict>
          <v:rect id="_x0000_i1047"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68"/>
        <w:gridCol w:w="110"/>
        <w:gridCol w:w="976"/>
        <w:gridCol w:w="110"/>
        <w:gridCol w:w="123"/>
        <w:gridCol w:w="555"/>
        <w:gridCol w:w="110"/>
        <w:gridCol w:w="110"/>
        <w:gridCol w:w="117"/>
        <w:gridCol w:w="715"/>
        <w:gridCol w:w="110"/>
        <w:gridCol w:w="110"/>
        <w:gridCol w:w="960"/>
        <w:gridCol w:w="110"/>
        <w:gridCol w:w="110"/>
        <w:gridCol w:w="760"/>
        <w:gridCol w:w="110"/>
        <w:gridCol w:w="110"/>
        <w:gridCol w:w="224"/>
        <w:gridCol w:w="583"/>
        <w:gridCol w:w="125"/>
      </w:tblGrid>
      <w:tr w:rsidR="00000000">
        <w:trPr>
          <w:tblCellSpacing w:w="15" w:type="dxa"/>
        </w:trPr>
        <w:tc>
          <w:tcPr>
            <w:tcW w:w="1594" w:type="pct"/>
            <w:vAlign w:val="center"/>
            <w:hideMark/>
          </w:tcPr>
          <w:p w:rsidR="00000000" w:rsidRDefault="006D723D">
            <w:pPr>
              <w:rPr>
                <w:sz w:val="20"/>
                <w:szCs w:val="20"/>
              </w:rPr>
            </w:pPr>
          </w:p>
        </w:tc>
        <w:tc>
          <w:tcPr>
            <w:tcW w:w="3" w:type="pct"/>
            <w:vAlign w:val="center"/>
            <w:hideMark/>
          </w:tcPr>
          <w:p w:rsidR="00000000" w:rsidRDefault="006D723D">
            <w:pPr>
              <w:rPr>
                <w:rFonts w:eastAsia="Times New Roman"/>
                <w:sz w:val="20"/>
                <w:szCs w:val="20"/>
              </w:rPr>
            </w:pPr>
          </w:p>
        </w:tc>
        <w:tc>
          <w:tcPr>
            <w:tcW w:w="890"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8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9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689" w:type="pct"/>
            <w:vAlign w:val="center"/>
            <w:hideMark/>
          </w:tcPr>
          <w:p w:rsidR="00000000" w:rsidRDefault="006D723D">
            <w:pPr>
              <w:rPr>
                <w:rFonts w:eastAsia="Times New Roman"/>
                <w:sz w:val="20"/>
                <w:szCs w:val="20"/>
              </w:rPr>
            </w:pPr>
          </w:p>
        </w:tc>
        <w:tc>
          <w:tcPr>
            <w:tcW w:w="36"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606" w:type="pct"/>
            <w:vAlign w:val="center"/>
            <w:hideMark/>
          </w:tcPr>
          <w:p w:rsidR="00000000" w:rsidRDefault="006D723D">
            <w:pPr>
              <w:rPr>
                <w:rFonts w:eastAsia="Times New Roman"/>
                <w:sz w:val="20"/>
                <w:szCs w:val="20"/>
              </w:rPr>
            </w:pPr>
          </w:p>
        </w:tc>
        <w:tc>
          <w:tcPr>
            <w:tcW w:w="36"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14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b/>
                <w:bCs/>
                <w:sz w:val="16"/>
                <w:szCs w:val="16"/>
              </w:rPr>
              <w:t>Facility Nam</w:t>
            </w:r>
            <w:r>
              <w:rPr>
                <w:b/>
                <w:bCs/>
                <w:sz w:val="16"/>
                <w:szCs w:val="16"/>
              </w:rPr>
              <w:t>e</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b/>
                <w:bCs/>
                <w:sz w:val="16"/>
                <w:szCs w:val="16"/>
              </w:rPr>
              <w:t>Primary Custome</w:t>
            </w:r>
            <w:r>
              <w:rPr>
                <w:b/>
                <w:bCs/>
                <w:sz w:val="16"/>
                <w:szCs w:val="16"/>
              </w:rPr>
              <w:t>r</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Design</w:t>
            </w:r>
            <w:r>
              <w:rPr>
                <w:b/>
                <w:bCs/>
                <w:sz w:val="16"/>
                <w:szCs w:val="16"/>
              </w:rPr>
              <w:br/>
              <w:t>Capacity</w:t>
            </w:r>
            <w:r>
              <w:rPr>
                <w:b/>
                <w:bCs/>
                <w:sz w:val="16"/>
                <w:szCs w:val="16"/>
              </w:rPr>
              <w:br/>
              <w:t>(A</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Security Leve</w:t>
            </w:r>
            <w:r>
              <w:rPr>
                <w:b/>
                <w:bCs/>
                <w:sz w:val="16"/>
                <w:szCs w:val="16"/>
              </w:rPr>
              <w:t>l</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b/>
                <w:bCs/>
                <w:sz w:val="16"/>
                <w:szCs w:val="16"/>
              </w:rPr>
              <w:t>Facility Type</w:t>
            </w:r>
            <w:r>
              <w:rPr>
                <w:b/>
                <w:bCs/>
                <w:sz w:val="16"/>
                <w:szCs w:val="16"/>
              </w:rPr>
              <w:br/>
              <w:t>(B</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b/>
                <w:bCs/>
                <w:sz w:val="16"/>
                <w:szCs w:val="16"/>
              </w:rPr>
              <w:t>Ter</w:t>
            </w:r>
            <w:r>
              <w:rPr>
                <w:b/>
                <w:bCs/>
                <w:sz w:val="16"/>
                <w:szCs w:val="16"/>
              </w:rPr>
              <w:t>m</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Remaining</w:t>
            </w:r>
            <w:r>
              <w:rPr>
                <w:b/>
                <w:bCs/>
                <w:sz w:val="16"/>
                <w:szCs w:val="16"/>
              </w:rPr>
              <w:br/>
              <w:t>Renewal Options</w:t>
            </w:r>
            <w:r>
              <w:rPr>
                <w:b/>
                <w:bCs/>
                <w:sz w:val="16"/>
                <w:szCs w:val="16"/>
              </w:rPr>
              <w:br/>
              <w:t>(C</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Eden Detention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USM</w:t>
            </w:r>
            <w:r>
              <w:rPr>
                <w:sz w:val="18"/>
                <w:szCs w:val="18"/>
              </w:rPr>
              <w:t>S</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1,42</w:t>
            </w:r>
            <w:r>
              <w:rPr>
                <w:sz w:val="18"/>
                <w:szCs w:val="18"/>
              </w:rPr>
              <w:t>2</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Mediu</w:t>
            </w:r>
            <w:r>
              <w:rPr>
                <w:sz w:val="18"/>
                <w:szCs w:val="18"/>
              </w:rPr>
              <w:t>m</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Detentio</w:t>
            </w:r>
            <w:r>
              <w:rPr>
                <w:sz w:val="18"/>
                <w:szCs w:val="18"/>
              </w:rPr>
              <w:t>n</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Indefinit</w:t>
            </w:r>
            <w:r>
              <w:rPr>
                <w:sz w:val="18"/>
                <w:szCs w:val="18"/>
              </w:rPr>
              <w:t>e</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Eden, Texa</w:t>
            </w:r>
            <w:r>
              <w:rPr>
                <w:sz w:val="18"/>
                <w:szCs w:val="18"/>
              </w:rPr>
              <w:t>s</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Houston Processing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IC</w:t>
            </w:r>
            <w:r>
              <w:rPr>
                <w:sz w:val="18"/>
                <w:szCs w:val="18"/>
              </w:rPr>
              <w:t>E</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1,00</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Mediu</w:t>
            </w:r>
            <w:r>
              <w:rPr>
                <w:sz w:val="18"/>
                <w:szCs w:val="18"/>
              </w:rPr>
              <w:t>m</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Detentio</w:t>
            </w:r>
            <w:r>
              <w:rPr>
                <w:sz w:val="18"/>
                <w:szCs w:val="18"/>
              </w:rPr>
              <w:t>n</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Aug-2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(7) 1 yea</w:t>
            </w:r>
            <w:r>
              <w:rPr>
                <w:sz w:val="18"/>
                <w:szCs w:val="18"/>
              </w:rPr>
              <w:t>r</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Houston, Texa</w:t>
            </w:r>
            <w:r>
              <w:rPr>
                <w:sz w:val="18"/>
                <w:szCs w:val="18"/>
              </w:rPr>
              <w:t>s</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Laredo Processing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IC</w:t>
            </w:r>
            <w:r>
              <w:rPr>
                <w:sz w:val="18"/>
                <w:szCs w:val="18"/>
              </w:rPr>
              <w:t>E</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25</w:t>
            </w:r>
            <w:r>
              <w:rPr>
                <w:sz w:val="18"/>
                <w:szCs w:val="18"/>
              </w:rPr>
              <w:t>8</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Minimum</w:t>
            </w:r>
            <w:r>
              <w:rPr>
                <w:sz w:val="18"/>
                <w:szCs w:val="18"/>
              </w:rPr>
              <w:t>/</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Detentio</w:t>
            </w:r>
            <w:r>
              <w:rPr>
                <w:sz w:val="18"/>
                <w:szCs w:val="18"/>
              </w:rPr>
              <w:t>n</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Jun-2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Indefinit</w:t>
            </w:r>
            <w:r>
              <w:rPr>
                <w:sz w:val="18"/>
                <w:szCs w:val="18"/>
              </w:rPr>
              <w:t>e</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Laredo, Texa</w:t>
            </w:r>
            <w:r>
              <w:rPr>
                <w:sz w:val="18"/>
                <w:szCs w:val="18"/>
              </w:rPr>
              <w:t>s</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Mediu</w:t>
            </w:r>
            <w:r>
              <w:rPr>
                <w:sz w:val="18"/>
                <w:szCs w:val="18"/>
              </w:rPr>
              <w:t>m</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xml:space="preserve">South Texas Family Residential </w:t>
            </w:r>
            <w:r>
              <w:rPr>
                <w:sz w:val="18"/>
                <w:szCs w:val="18"/>
              </w:rPr>
              <w:br/>
              <w:t>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IC</w:t>
            </w:r>
            <w:r>
              <w:rPr>
                <w:sz w:val="18"/>
                <w:szCs w:val="18"/>
              </w:rPr>
              <w:t>E</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2,40</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Residentia</w:t>
            </w:r>
            <w:r>
              <w:rPr>
                <w:sz w:val="18"/>
                <w:szCs w:val="18"/>
              </w:rPr>
              <w:t>l</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Sep-2</w:t>
            </w:r>
            <w:r>
              <w:rPr>
                <w:sz w:val="18"/>
                <w:szCs w:val="18"/>
              </w:rPr>
              <w:t>6</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Indefinit</w:t>
            </w:r>
            <w:r>
              <w:rPr>
                <w:sz w:val="18"/>
                <w:szCs w:val="18"/>
              </w:rPr>
              <w:t>e</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Dilley, Texa</w:t>
            </w:r>
            <w:r>
              <w:rPr>
                <w:sz w:val="18"/>
                <w:szCs w:val="18"/>
              </w:rPr>
              <w:t>s</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T. Don Hutto Residential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IC</w:t>
            </w:r>
            <w:r>
              <w:rPr>
                <w:sz w:val="18"/>
                <w:szCs w:val="18"/>
              </w:rPr>
              <w:t>E</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51</w:t>
            </w:r>
            <w:r>
              <w:rPr>
                <w:sz w:val="18"/>
                <w:szCs w:val="18"/>
              </w:rPr>
              <w:t>2</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Mediu</w:t>
            </w:r>
            <w:r>
              <w:rPr>
                <w:sz w:val="18"/>
                <w:szCs w:val="18"/>
              </w:rPr>
              <w:t>m</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Detentio</w:t>
            </w:r>
            <w:r>
              <w:rPr>
                <w:sz w:val="18"/>
                <w:szCs w:val="18"/>
              </w:rPr>
              <w:t>n</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Jul-2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(7) 1 yea</w:t>
            </w:r>
            <w:r>
              <w:rPr>
                <w:sz w:val="18"/>
                <w:szCs w:val="18"/>
              </w:rPr>
              <w:t>r</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Taylor, Texa</w:t>
            </w:r>
            <w:r>
              <w:rPr>
                <w:sz w:val="18"/>
                <w:szCs w:val="18"/>
              </w:rPr>
              <w:t>s</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Webb County Detention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IC</w:t>
            </w:r>
            <w:r>
              <w:rPr>
                <w:sz w:val="18"/>
                <w:szCs w:val="18"/>
              </w:rPr>
              <w:t>E</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48</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Mediu</w:t>
            </w:r>
            <w:r>
              <w:rPr>
                <w:sz w:val="18"/>
                <w:szCs w:val="18"/>
              </w:rPr>
              <w:t>m</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Detentio</w:t>
            </w:r>
            <w:r>
              <w:rPr>
                <w:sz w:val="18"/>
                <w:szCs w:val="18"/>
              </w:rPr>
              <w:t>n</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Feb-2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Indefinit</w:t>
            </w:r>
            <w:r>
              <w:rPr>
                <w:sz w:val="18"/>
                <w:szCs w:val="18"/>
              </w:rPr>
              <w:t>e</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Laredo, Texa</w:t>
            </w:r>
            <w:r>
              <w:rPr>
                <w:sz w:val="18"/>
                <w:szCs w:val="18"/>
              </w:rPr>
              <w:t>s</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b/>
                <w:bCs/>
                <w:sz w:val="18"/>
                <w:szCs w:val="18"/>
              </w:rPr>
              <w:t>Safety - Managed Only</w:t>
            </w:r>
            <w:r>
              <w:rPr>
                <w:b/>
                <w:bCs/>
                <w:sz w:val="18"/>
                <w:szCs w:val="18"/>
              </w:rPr>
              <w:t>:</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Citrus County Detention Facilit</w:t>
            </w:r>
            <w:r>
              <w:rPr>
                <w:sz w:val="18"/>
                <w:szCs w:val="18"/>
              </w:rPr>
              <w:t>y</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Citrus County, F</w:t>
            </w:r>
            <w:r>
              <w:rPr>
                <w:sz w:val="18"/>
                <w:szCs w:val="18"/>
              </w:rPr>
              <w:t>L</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76</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Mult</w:t>
            </w:r>
            <w:r>
              <w:rPr>
                <w:sz w:val="18"/>
                <w:szCs w:val="18"/>
              </w:rPr>
              <w:t>i</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Detentio</w:t>
            </w:r>
            <w:r>
              <w:rPr>
                <w:sz w:val="18"/>
                <w:szCs w:val="18"/>
              </w:rPr>
              <w:t>n</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Sep-3</w:t>
            </w:r>
            <w:r>
              <w:rPr>
                <w:sz w:val="18"/>
                <w:szCs w:val="18"/>
              </w:rPr>
              <w:t>0</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(2) 5 yea</w:t>
            </w:r>
            <w:r>
              <w:rPr>
                <w:sz w:val="18"/>
                <w:szCs w:val="18"/>
              </w:rPr>
              <w:t>r</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Lecanto, Florid</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Lake City Correctional Facilit</w:t>
            </w:r>
            <w:r>
              <w:rPr>
                <w:sz w:val="18"/>
                <w:szCs w:val="18"/>
              </w:rPr>
              <w:t>y</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Florid</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89</w:t>
            </w:r>
            <w:r>
              <w:rPr>
                <w:sz w:val="18"/>
                <w:szCs w:val="18"/>
              </w:rPr>
              <w:t>3</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Mediu</w:t>
            </w:r>
            <w:r>
              <w:rPr>
                <w:sz w:val="18"/>
                <w:szCs w:val="18"/>
              </w:rPr>
              <w:t>m</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Correctiona</w:t>
            </w:r>
            <w:r>
              <w:rPr>
                <w:sz w:val="18"/>
                <w:szCs w:val="18"/>
              </w:rPr>
              <w:t>l</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Jun-2</w:t>
            </w:r>
            <w:r>
              <w:rPr>
                <w:sz w:val="18"/>
                <w:szCs w:val="18"/>
              </w:rPr>
              <w:t>4</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Indefinit</w:t>
            </w:r>
            <w:r>
              <w:rPr>
                <w:sz w:val="18"/>
                <w:szCs w:val="18"/>
              </w:rPr>
              <w:t>e</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Lake City, Florid</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xml:space="preserve">Hardeman County Correctional </w:t>
            </w:r>
            <w:r>
              <w:rPr>
                <w:sz w:val="18"/>
                <w:szCs w:val="18"/>
              </w:rPr>
              <w:br/>
              <w:t>   Facilit</w:t>
            </w:r>
            <w:r>
              <w:rPr>
                <w:sz w:val="18"/>
                <w:szCs w:val="18"/>
              </w:rPr>
              <w:t>y</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Tennesse</w:t>
            </w:r>
            <w:r>
              <w:rPr>
                <w:sz w:val="18"/>
                <w:szCs w:val="18"/>
              </w:rPr>
              <w:t>e</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2,01</w:t>
            </w:r>
            <w:r>
              <w:rPr>
                <w:sz w:val="18"/>
                <w:szCs w:val="18"/>
              </w:rPr>
              <w:t>6</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Mediu</w:t>
            </w:r>
            <w:r>
              <w:rPr>
                <w:sz w:val="18"/>
                <w:szCs w:val="18"/>
              </w:rPr>
              <w:t>m</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Correctiona</w:t>
            </w:r>
            <w:r>
              <w:rPr>
                <w:sz w:val="18"/>
                <w:szCs w:val="18"/>
              </w:rPr>
              <w:t>l</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Jun-2</w:t>
            </w:r>
            <w:r>
              <w:rPr>
                <w:sz w:val="18"/>
                <w:szCs w:val="18"/>
              </w:rPr>
              <w:t>4</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Whiteville, Tennesse</w:t>
            </w:r>
            <w:r>
              <w:rPr>
                <w:sz w:val="18"/>
                <w:szCs w:val="18"/>
              </w:rPr>
              <w:t>e</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South Central Correctional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Tennesse</w:t>
            </w:r>
            <w:r>
              <w:rPr>
                <w:sz w:val="18"/>
                <w:szCs w:val="18"/>
              </w:rPr>
              <w:t>e</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1,67</w:t>
            </w:r>
            <w:r>
              <w:rPr>
                <w:sz w:val="18"/>
                <w:szCs w:val="18"/>
              </w:rPr>
              <w:t>6</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Mediu</w:t>
            </w:r>
            <w:r>
              <w:rPr>
                <w:sz w:val="18"/>
                <w:szCs w:val="18"/>
              </w:rPr>
              <w:t>m</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Correctiona</w:t>
            </w:r>
            <w:r>
              <w:rPr>
                <w:sz w:val="18"/>
                <w:szCs w:val="18"/>
              </w:rPr>
              <w:t>l</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Jun-2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(1) 2 yea</w:t>
            </w:r>
            <w:r>
              <w:rPr>
                <w:sz w:val="18"/>
                <w:szCs w:val="18"/>
              </w:rPr>
              <w:t>r</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Clifton, Tennesse</w:t>
            </w:r>
            <w:r>
              <w:rPr>
                <w:sz w:val="18"/>
                <w:szCs w:val="18"/>
              </w:rPr>
              <w:t>e</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b/>
                <w:bCs/>
                <w:sz w:val="18"/>
                <w:szCs w:val="18"/>
              </w:rPr>
              <w:t xml:space="preserve">Total design capacity for CoreCivic </w:t>
            </w:r>
            <w:r>
              <w:rPr>
                <w:b/>
                <w:bCs/>
                <w:sz w:val="18"/>
                <w:szCs w:val="18"/>
              </w:rPr>
              <w:br/>
              <w:t>   Safety Facilitie</w:t>
            </w:r>
            <w:r>
              <w:rPr>
                <w:b/>
                <w:bCs/>
                <w:sz w:val="18"/>
                <w:szCs w:val="18"/>
              </w:rPr>
              <w:t>s</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66,39</w:t>
            </w:r>
            <w:r>
              <w:rPr>
                <w:sz w:val="18"/>
                <w:szCs w:val="18"/>
              </w:rPr>
              <w:t>9</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bl>
    <w:p w:rsidR="00000000" w:rsidRDefault="006D723D">
      <w:pPr>
        <w:pStyle w:val="a3"/>
        <w:spacing w:before="240" w:beforeAutospacing="0" w:after="0" w:afterAutospacing="0"/>
        <w:jc w:val="center"/>
        <w:rPr>
          <w:sz w:val="20"/>
          <w:szCs w:val="20"/>
        </w:rPr>
      </w:pPr>
      <w:r>
        <w:rPr>
          <w:sz w:val="20"/>
          <w:szCs w:val="20"/>
        </w:rPr>
        <w:t>2</w:t>
      </w:r>
      <w:r>
        <w:rPr>
          <w:sz w:val="20"/>
          <w:szCs w:val="20"/>
        </w:rPr>
        <w:t>4</w:t>
      </w:r>
    </w:p>
    <w:p w:rsidR="00000000" w:rsidRDefault="006D723D">
      <w:pPr>
        <w:rPr>
          <w:rFonts w:eastAsia="Times New Roman"/>
        </w:rPr>
      </w:pPr>
      <w:r>
        <w:rPr>
          <w:rFonts w:eastAsia="Times New Roman"/>
        </w:rPr>
        <w:pict>
          <v:rect id="_x0000_i1048"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74"/>
        <w:gridCol w:w="105"/>
        <w:gridCol w:w="1244"/>
        <w:gridCol w:w="105"/>
        <w:gridCol w:w="119"/>
        <w:gridCol w:w="555"/>
        <w:gridCol w:w="105"/>
        <w:gridCol w:w="105"/>
        <w:gridCol w:w="106"/>
        <w:gridCol w:w="537"/>
        <w:gridCol w:w="105"/>
        <w:gridCol w:w="105"/>
        <w:gridCol w:w="921"/>
        <w:gridCol w:w="105"/>
        <w:gridCol w:w="105"/>
        <w:gridCol w:w="106"/>
        <w:gridCol w:w="367"/>
        <w:gridCol w:w="105"/>
        <w:gridCol w:w="105"/>
        <w:gridCol w:w="215"/>
        <w:gridCol w:w="592"/>
        <w:gridCol w:w="120"/>
      </w:tblGrid>
      <w:tr w:rsidR="00000000">
        <w:trPr>
          <w:tblCellSpacing w:w="15" w:type="dxa"/>
        </w:trPr>
        <w:tc>
          <w:tcPr>
            <w:tcW w:w="1655" w:type="pct"/>
            <w:vAlign w:val="center"/>
            <w:hideMark/>
          </w:tcPr>
          <w:p w:rsidR="00000000" w:rsidRDefault="006D723D">
            <w:pPr>
              <w:rPr>
                <w:sz w:val="20"/>
                <w:szCs w:val="20"/>
              </w:rPr>
            </w:pPr>
          </w:p>
        </w:tc>
        <w:tc>
          <w:tcPr>
            <w:tcW w:w="3" w:type="pct"/>
            <w:vAlign w:val="center"/>
            <w:hideMark/>
          </w:tcPr>
          <w:p w:rsidR="00000000" w:rsidRDefault="006D723D">
            <w:pPr>
              <w:rPr>
                <w:rFonts w:eastAsia="Times New Roman"/>
                <w:sz w:val="20"/>
                <w:szCs w:val="20"/>
              </w:rPr>
            </w:pPr>
          </w:p>
        </w:tc>
        <w:tc>
          <w:tcPr>
            <w:tcW w:w="924"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97"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1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715" w:type="pct"/>
            <w:vAlign w:val="center"/>
            <w:hideMark/>
          </w:tcPr>
          <w:p w:rsidR="00000000" w:rsidRDefault="006D723D">
            <w:pPr>
              <w:rPr>
                <w:rFonts w:eastAsia="Times New Roman"/>
                <w:sz w:val="20"/>
                <w:szCs w:val="20"/>
              </w:rPr>
            </w:pPr>
          </w:p>
        </w:tc>
        <w:tc>
          <w:tcPr>
            <w:tcW w:w="38"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75"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15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b/>
                <w:bCs/>
                <w:sz w:val="16"/>
                <w:szCs w:val="16"/>
              </w:rPr>
              <w:t>Facility Nam</w:t>
            </w:r>
            <w:r>
              <w:rPr>
                <w:b/>
                <w:bCs/>
                <w:sz w:val="16"/>
                <w:szCs w:val="16"/>
              </w:rPr>
              <w:t>e</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b/>
                <w:bCs/>
                <w:sz w:val="16"/>
                <w:szCs w:val="16"/>
              </w:rPr>
              <w:t>Primary Custome</w:t>
            </w:r>
            <w:r>
              <w:rPr>
                <w:b/>
                <w:bCs/>
                <w:sz w:val="16"/>
                <w:szCs w:val="16"/>
              </w:rPr>
              <w:t>r</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Design</w:t>
            </w:r>
            <w:r>
              <w:rPr>
                <w:b/>
                <w:bCs/>
                <w:sz w:val="16"/>
                <w:szCs w:val="16"/>
              </w:rPr>
              <w:br/>
              <w:t>Capacity</w:t>
            </w:r>
            <w:r>
              <w:rPr>
                <w:b/>
                <w:bCs/>
                <w:sz w:val="16"/>
                <w:szCs w:val="16"/>
              </w:rPr>
              <w:br/>
              <w:t>(A</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Security Leve</w:t>
            </w:r>
            <w:r>
              <w:rPr>
                <w:b/>
                <w:bCs/>
                <w:sz w:val="16"/>
                <w:szCs w:val="16"/>
              </w:rPr>
              <w:t>l</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b/>
                <w:bCs/>
                <w:sz w:val="16"/>
                <w:szCs w:val="16"/>
              </w:rPr>
              <w:t>Facility Type</w:t>
            </w:r>
            <w:r>
              <w:rPr>
                <w:b/>
                <w:bCs/>
                <w:sz w:val="16"/>
                <w:szCs w:val="16"/>
              </w:rPr>
              <w:br/>
              <w:t>(B</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Ter</w:t>
            </w:r>
            <w:r>
              <w:rPr>
                <w:b/>
                <w:bCs/>
                <w:sz w:val="16"/>
                <w:szCs w:val="16"/>
              </w:rPr>
              <w:t>m</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Remaining</w:t>
            </w:r>
            <w:r>
              <w:rPr>
                <w:b/>
                <w:bCs/>
                <w:sz w:val="16"/>
                <w:szCs w:val="16"/>
              </w:rPr>
              <w:br/>
              <w:t>Renewal Options</w:t>
            </w:r>
            <w:r>
              <w:rPr>
                <w:b/>
                <w:bCs/>
                <w:sz w:val="16"/>
                <w:szCs w:val="16"/>
              </w:rPr>
              <w:br/>
              <w:t>(C</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b/>
                <w:bCs/>
                <w:sz w:val="18"/>
                <w:szCs w:val="18"/>
              </w:rPr>
              <w:t>CoreCivic Community Facilities</w:t>
            </w:r>
            <w:r>
              <w:rPr>
                <w:b/>
                <w:bCs/>
                <w:sz w:val="18"/>
                <w:szCs w:val="18"/>
              </w:rPr>
              <w:t>:</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CAI Boston Avenu</w:t>
            </w:r>
            <w:r>
              <w:rPr>
                <w:sz w:val="18"/>
                <w:szCs w:val="18"/>
              </w:rPr>
              <w:t>e</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Californi</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12</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Communit</w:t>
            </w:r>
            <w:r>
              <w:rPr>
                <w:sz w:val="18"/>
                <w:szCs w:val="18"/>
              </w:rPr>
              <w:t>y</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Jun-2</w:t>
            </w:r>
            <w:r>
              <w:rPr>
                <w:sz w:val="18"/>
                <w:szCs w:val="18"/>
              </w:rPr>
              <w:t>4</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San Diego, Californi</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w:t>
            </w:r>
            <w:r>
              <w:rPr>
                <w:sz w:val="18"/>
                <w:szCs w:val="18"/>
              </w:rPr>
              <w:t>s</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CAI Ocean Vie</w:t>
            </w:r>
            <w:r>
              <w:rPr>
                <w:sz w:val="18"/>
                <w:szCs w:val="18"/>
              </w:rPr>
              <w:t>w</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BO</w:t>
            </w:r>
            <w:r>
              <w:rPr>
                <w:sz w:val="18"/>
                <w:szCs w:val="18"/>
              </w:rPr>
              <w:t>P</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48</w:t>
            </w:r>
            <w:r>
              <w:rPr>
                <w:sz w:val="18"/>
                <w:szCs w:val="18"/>
              </w:rPr>
              <w:t>3</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Communit</w:t>
            </w:r>
            <w:r>
              <w:rPr>
                <w:sz w:val="18"/>
                <w:szCs w:val="18"/>
              </w:rPr>
              <w:t>y</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Aug-2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(3) 1 yea</w:t>
            </w:r>
            <w:r>
              <w:rPr>
                <w:sz w:val="18"/>
                <w:szCs w:val="18"/>
              </w:rPr>
              <w:t>r</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San Diego, Californi</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w:t>
            </w:r>
            <w:r>
              <w:rPr>
                <w:sz w:val="18"/>
                <w:szCs w:val="18"/>
              </w:rPr>
              <w:t>s</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Adams Transitional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Adams Count</w:t>
            </w:r>
            <w:r>
              <w:rPr>
                <w:sz w:val="18"/>
                <w:szCs w:val="18"/>
              </w:rPr>
              <w:t>y</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10</w:t>
            </w:r>
            <w:r>
              <w:rPr>
                <w:sz w:val="18"/>
                <w:szCs w:val="18"/>
              </w:rPr>
              <w:t>2</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Communit</w:t>
            </w:r>
            <w:r>
              <w:rPr>
                <w:sz w:val="18"/>
                <w:szCs w:val="18"/>
              </w:rPr>
              <w:t>y</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Jun-2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Indefinit</w:t>
            </w:r>
            <w:r>
              <w:rPr>
                <w:sz w:val="18"/>
                <w:szCs w:val="18"/>
              </w:rPr>
              <w:t>e</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Denver, Colorad</w:t>
            </w:r>
            <w:r>
              <w:rPr>
                <w:sz w:val="18"/>
                <w:szCs w:val="18"/>
              </w:rPr>
              <w:t>o</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w:t>
            </w:r>
            <w:r>
              <w:rPr>
                <w:sz w:val="18"/>
                <w:szCs w:val="18"/>
              </w:rPr>
              <w:t>s</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xml:space="preserve">Arapahoe Community Treatment </w:t>
            </w:r>
            <w:r>
              <w:rPr>
                <w:sz w:val="18"/>
                <w:szCs w:val="18"/>
              </w:rPr>
              <w:br/>
              <w:t>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Arapahoe Count</w:t>
            </w:r>
            <w:r>
              <w:rPr>
                <w:sz w:val="18"/>
                <w:szCs w:val="18"/>
              </w:rPr>
              <w:t>y</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13</w:t>
            </w:r>
            <w:r>
              <w:rPr>
                <w:sz w:val="18"/>
                <w:szCs w:val="18"/>
              </w:rPr>
              <w:t>5</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Community</w:t>
            </w:r>
            <w:r>
              <w:rPr>
                <w:sz w:val="18"/>
                <w:szCs w:val="18"/>
              </w:rPr>
              <w:br/>
            </w:r>
            <w:r>
              <w:rPr>
                <w:sz w:val="18"/>
                <w:szCs w:val="18"/>
              </w:rPr>
              <w:t>Correction</w:t>
            </w:r>
            <w:r>
              <w:rPr>
                <w:sz w:val="18"/>
                <w:szCs w:val="18"/>
              </w:rPr>
              <w:t>s</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Jun-2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Englewood, Colorad</w:t>
            </w:r>
            <w:r>
              <w:rPr>
                <w:sz w:val="18"/>
                <w:szCs w:val="18"/>
              </w:rPr>
              <w:t>o</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xml:space="preserve">Centennial Community Transition </w:t>
            </w:r>
            <w:r>
              <w:rPr>
                <w:sz w:val="18"/>
                <w:szCs w:val="18"/>
              </w:rPr>
              <w:br/>
              <w:t>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Arapahoe Count</w:t>
            </w:r>
            <w:r>
              <w:rPr>
                <w:sz w:val="18"/>
                <w:szCs w:val="18"/>
              </w:rPr>
              <w:t>y</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10</w:t>
            </w:r>
            <w:r>
              <w:rPr>
                <w:sz w:val="18"/>
                <w:szCs w:val="18"/>
              </w:rPr>
              <w:t>7</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xml:space="preserve">Community </w:t>
            </w:r>
            <w:r>
              <w:rPr>
                <w:sz w:val="18"/>
                <w:szCs w:val="18"/>
              </w:rPr>
              <w:br/>
              <w:t>Correction</w:t>
            </w:r>
            <w:r>
              <w:rPr>
                <w:sz w:val="18"/>
                <w:szCs w:val="18"/>
              </w:rPr>
              <w:t>s</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Jun-2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Englewood, Colorad</w:t>
            </w:r>
            <w:r>
              <w:rPr>
                <w:sz w:val="18"/>
                <w:szCs w:val="18"/>
              </w:rPr>
              <w:t>o</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xml:space="preserve">Columbine Facility </w:t>
            </w:r>
            <w:r>
              <w:rPr>
                <w:sz w:val="18"/>
                <w:szCs w:val="18"/>
              </w:rPr>
              <w:t>*</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Idled 202</w:t>
            </w:r>
            <w:r>
              <w:rPr>
                <w:sz w:val="18"/>
                <w:szCs w:val="18"/>
              </w:rPr>
              <w:t>0</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6</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Communit</w:t>
            </w:r>
            <w:r>
              <w:rPr>
                <w:sz w:val="18"/>
                <w:szCs w:val="18"/>
              </w:rPr>
              <w:t>y</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Denver, Colorad</w:t>
            </w:r>
            <w:r>
              <w:rPr>
                <w:sz w:val="18"/>
                <w:szCs w:val="18"/>
              </w:rPr>
              <w:t>o</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w:t>
            </w:r>
            <w:r>
              <w:rPr>
                <w:sz w:val="18"/>
                <w:szCs w:val="18"/>
              </w:rPr>
              <w:t>s</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Commerce Transitional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Adams Count</w:t>
            </w:r>
            <w:r>
              <w:rPr>
                <w:sz w:val="18"/>
                <w:szCs w:val="18"/>
              </w:rPr>
              <w:t>y</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13</w:t>
            </w:r>
            <w:r>
              <w:rPr>
                <w:sz w:val="18"/>
                <w:szCs w:val="18"/>
              </w:rPr>
              <w:t>6</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Communit</w:t>
            </w:r>
            <w:r>
              <w:rPr>
                <w:sz w:val="18"/>
                <w:szCs w:val="18"/>
              </w:rPr>
              <w:t>y</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Jun-2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Indefinit</w:t>
            </w:r>
            <w:r>
              <w:rPr>
                <w:sz w:val="18"/>
                <w:szCs w:val="18"/>
              </w:rPr>
              <w:t>e</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Commerce City, Colorad</w:t>
            </w:r>
            <w:r>
              <w:rPr>
                <w:sz w:val="18"/>
                <w:szCs w:val="18"/>
              </w:rPr>
              <w:t>o</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w:t>
            </w:r>
            <w:r>
              <w:rPr>
                <w:sz w:val="18"/>
                <w:szCs w:val="18"/>
              </w:rPr>
              <w:t>s</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Dahlia Facilit</w:t>
            </w:r>
            <w:r>
              <w:rPr>
                <w:sz w:val="18"/>
                <w:szCs w:val="18"/>
              </w:rPr>
              <w:t>y</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Denver Count</w:t>
            </w:r>
            <w:r>
              <w:rPr>
                <w:sz w:val="18"/>
                <w:szCs w:val="18"/>
              </w:rPr>
              <w:t>y</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12</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Communit</w:t>
            </w:r>
            <w:r>
              <w:rPr>
                <w:sz w:val="18"/>
                <w:szCs w:val="18"/>
              </w:rPr>
              <w:t>y</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Jun-2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Denver, Colorad</w:t>
            </w:r>
            <w:r>
              <w:rPr>
                <w:sz w:val="18"/>
                <w:szCs w:val="18"/>
              </w:rPr>
              <w:t>o</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w:t>
            </w:r>
            <w:r>
              <w:rPr>
                <w:sz w:val="18"/>
                <w:szCs w:val="18"/>
              </w:rPr>
              <w:t>s</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xml:space="preserve">Longmont Community Treatment </w:t>
            </w:r>
            <w:r>
              <w:rPr>
                <w:sz w:val="18"/>
                <w:szCs w:val="18"/>
              </w:rPr>
              <w:br/>
              <w:t>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Boulder Count</w:t>
            </w:r>
            <w:r>
              <w:rPr>
                <w:sz w:val="18"/>
                <w:szCs w:val="18"/>
              </w:rPr>
              <w:t>y</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6</w:t>
            </w:r>
            <w:r>
              <w:rPr>
                <w:sz w:val="18"/>
                <w:szCs w:val="18"/>
              </w:rPr>
              <w:t>9</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Community</w:t>
            </w:r>
            <w:r>
              <w:rPr>
                <w:sz w:val="18"/>
                <w:szCs w:val="18"/>
              </w:rPr>
              <w:br/>
              <w:t>Correction</w:t>
            </w:r>
            <w:r>
              <w:rPr>
                <w:sz w:val="18"/>
                <w:szCs w:val="18"/>
              </w:rPr>
              <w:t>s</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Jun-2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(1) 1 year an</w:t>
            </w:r>
            <w:r>
              <w:rPr>
                <w:sz w:val="18"/>
                <w:szCs w:val="18"/>
              </w:rPr>
              <w:t>d</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Longmont, Colorad</w:t>
            </w:r>
            <w:r>
              <w:rPr>
                <w:sz w:val="18"/>
                <w:szCs w:val="18"/>
              </w:rPr>
              <w:t>o</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(1) 6 mont</w:t>
            </w:r>
            <w:r>
              <w:rPr>
                <w:sz w:val="18"/>
                <w:szCs w:val="18"/>
              </w:rPr>
              <w:t>h</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South Raleigh Reentry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BO</w:t>
            </w:r>
            <w:r>
              <w:rPr>
                <w:sz w:val="18"/>
                <w:szCs w:val="18"/>
              </w:rPr>
              <w:t>P</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6</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Communit</w:t>
            </w:r>
            <w:r>
              <w:rPr>
                <w:sz w:val="18"/>
                <w:szCs w:val="18"/>
              </w:rPr>
              <w:t>y</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Sep-2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(4) 1 yea</w:t>
            </w:r>
            <w:r>
              <w:rPr>
                <w:sz w:val="18"/>
                <w:szCs w:val="18"/>
              </w:rPr>
              <w:t>r</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Raleigh, North Carolin</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w:t>
            </w:r>
            <w:r>
              <w:rPr>
                <w:sz w:val="18"/>
                <w:szCs w:val="18"/>
              </w:rPr>
              <w:t>s</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xml:space="preserve">Oklahoma Reentry Opportunity </w:t>
            </w:r>
            <w:r>
              <w:rPr>
                <w:sz w:val="18"/>
                <w:szCs w:val="18"/>
              </w:rPr>
              <w:br/>
              <w:t>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BO</w:t>
            </w:r>
            <w:r>
              <w:rPr>
                <w:sz w:val="18"/>
                <w:szCs w:val="18"/>
              </w:rPr>
              <w:t>P</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49</w:t>
            </w:r>
            <w:r>
              <w:rPr>
                <w:sz w:val="18"/>
                <w:szCs w:val="18"/>
              </w:rPr>
              <w:t>4</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Communit</w:t>
            </w:r>
            <w:r>
              <w:rPr>
                <w:sz w:val="18"/>
                <w:szCs w:val="18"/>
              </w:rPr>
              <w:t>y</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Jan-2</w:t>
            </w:r>
            <w:r>
              <w:rPr>
                <w:sz w:val="18"/>
                <w:szCs w:val="18"/>
              </w:rPr>
              <w:t>4</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(2) 1 yea</w:t>
            </w:r>
            <w:r>
              <w:rPr>
                <w:sz w:val="18"/>
                <w:szCs w:val="18"/>
              </w:rPr>
              <w:t>r</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Oklahoma City, Oklahom</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w:t>
            </w:r>
            <w:r>
              <w:rPr>
                <w:sz w:val="18"/>
                <w:szCs w:val="18"/>
              </w:rPr>
              <w:t>s</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Tulsa Transitional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Idled 202</w:t>
            </w:r>
            <w:r>
              <w:rPr>
                <w:sz w:val="18"/>
                <w:szCs w:val="18"/>
              </w:rPr>
              <w:t>0</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39</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Communit</w:t>
            </w:r>
            <w:r>
              <w:rPr>
                <w:sz w:val="18"/>
                <w:szCs w:val="18"/>
              </w:rPr>
              <w:t>y</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Tulsa, Oklahom</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w:t>
            </w:r>
            <w:r>
              <w:rPr>
                <w:sz w:val="18"/>
                <w:szCs w:val="18"/>
              </w:rPr>
              <w:t>s</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Turley Residential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BO</w:t>
            </w:r>
            <w:r>
              <w:rPr>
                <w:sz w:val="18"/>
                <w:szCs w:val="18"/>
              </w:rPr>
              <w:t>P</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28</w:t>
            </w:r>
            <w:r>
              <w:rPr>
                <w:sz w:val="18"/>
                <w:szCs w:val="18"/>
              </w:rPr>
              <w:t>9</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Communit</w:t>
            </w:r>
            <w:r>
              <w:rPr>
                <w:sz w:val="18"/>
                <w:szCs w:val="18"/>
              </w:rPr>
              <w:t>y</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Jan-2</w:t>
            </w:r>
            <w:r>
              <w:rPr>
                <w:sz w:val="18"/>
                <w:szCs w:val="18"/>
              </w:rPr>
              <w:t>4</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(2) 1 yea</w:t>
            </w:r>
            <w:r>
              <w:rPr>
                <w:sz w:val="18"/>
                <w:szCs w:val="18"/>
              </w:rPr>
              <w:t>r</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Tulsa, Oklahom</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w:t>
            </w:r>
            <w:r>
              <w:rPr>
                <w:sz w:val="18"/>
                <w:szCs w:val="18"/>
              </w:rPr>
              <w:t>s</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Austin Residential Reentry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BO</w:t>
            </w:r>
            <w:r>
              <w:rPr>
                <w:sz w:val="18"/>
                <w:szCs w:val="18"/>
              </w:rPr>
              <w:t>P</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11</w:t>
            </w:r>
            <w:r>
              <w:rPr>
                <w:sz w:val="18"/>
                <w:szCs w:val="18"/>
              </w:rPr>
              <w:t>6</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Communit</w:t>
            </w:r>
            <w:r>
              <w:rPr>
                <w:sz w:val="18"/>
                <w:szCs w:val="18"/>
              </w:rPr>
              <w:t>y</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Aug-2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(1) 1 yea</w:t>
            </w:r>
            <w:r>
              <w:rPr>
                <w:sz w:val="18"/>
                <w:szCs w:val="18"/>
              </w:rPr>
              <w:t>r</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Del Valle, Texa</w:t>
            </w:r>
            <w:r>
              <w:rPr>
                <w:sz w:val="18"/>
                <w:szCs w:val="18"/>
              </w:rPr>
              <w:t>s</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w:t>
            </w:r>
            <w:r>
              <w:rPr>
                <w:sz w:val="18"/>
                <w:szCs w:val="18"/>
              </w:rPr>
              <w:t>s</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Austin Transitional Cente</w:t>
            </w:r>
            <w:r>
              <w:rPr>
                <w:sz w:val="18"/>
                <w:szCs w:val="18"/>
              </w:rPr>
              <w:t>r</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Texa</w:t>
            </w:r>
            <w:r>
              <w:rPr>
                <w:sz w:val="18"/>
                <w:szCs w:val="18"/>
              </w:rPr>
              <w:t>s</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46</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Communit</w:t>
            </w:r>
            <w:r>
              <w:rPr>
                <w:sz w:val="18"/>
                <w:szCs w:val="18"/>
              </w:rPr>
              <w:t>y</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Aug-2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Del Valle, Texa</w:t>
            </w:r>
            <w:r>
              <w:rPr>
                <w:sz w:val="18"/>
                <w:szCs w:val="18"/>
              </w:rPr>
              <w:t>s</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w:t>
            </w:r>
            <w:r>
              <w:rPr>
                <w:sz w:val="18"/>
                <w:szCs w:val="18"/>
              </w:rPr>
              <w:t>s</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Corpus Christi Transitional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Texa</w:t>
            </w:r>
            <w:r>
              <w:rPr>
                <w:sz w:val="18"/>
                <w:szCs w:val="18"/>
              </w:rPr>
              <w:t>s</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16</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Communit</w:t>
            </w:r>
            <w:r>
              <w:rPr>
                <w:sz w:val="18"/>
                <w:szCs w:val="18"/>
              </w:rPr>
              <w:t>y</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Aug-2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(2) 2 yea</w:t>
            </w:r>
            <w:r>
              <w:rPr>
                <w:sz w:val="18"/>
                <w:szCs w:val="18"/>
              </w:rPr>
              <w:t>r</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Corpus Christi, Texa</w:t>
            </w:r>
            <w:r>
              <w:rPr>
                <w:sz w:val="18"/>
                <w:szCs w:val="18"/>
              </w:rPr>
              <w:t>s</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w:t>
            </w:r>
            <w:r>
              <w:rPr>
                <w:sz w:val="18"/>
                <w:szCs w:val="18"/>
              </w:rPr>
              <w:t>s</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bl>
    <w:p w:rsidR="00000000" w:rsidRDefault="006D723D">
      <w:pPr>
        <w:pStyle w:val="a3"/>
        <w:spacing w:before="240" w:beforeAutospacing="0" w:after="0" w:afterAutospacing="0"/>
        <w:jc w:val="center"/>
        <w:rPr>
          <w:sz w:val="20"/>
          <w:szCs w:val="20"/>
        </w:rPr>
      </w:pPr>
      <w:r>
        <w:rPr>
          <w:sz w:val="20"/>
          <w:szCs w:val="20"/>
        </w:rPr>
        <w:t>2</w:t>
      </w:r>
      <w:r>
        <w:rPr>
          <w:sz w:val="20"/>
          <w:szCs w:val="20"/>
        </w:rPr>
        <w:t>5</w:t>
      </w:r>
    </w:p>
    <w:p w:rsidR="00000000" w:rsidRDefault="006D723D">
      <w:pPr>
        <w:rPr>
          <w:rFonts w:eastAsia="Times New Roman"/>
        </w:rPr>
      </w:pPr>
      <w:r>
        <w:rPr>
          <w:rFonts w:eastAsia="Times New Roman"/>
        </w:rPr>
        <w:pict>
          <v:rect id="_x0000_i1049"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5"/>
        <w:gridCol w:w="110"/>
        <w:gridCol w:w="1224"/>
        <w:gridCol w:w="110"/>
        <w:gridCol w:w="123"/>
        <w:gridCol w:w="551"/>
        <w:gridCol w:w="105"/>
        <w:gridCol w:w="105"/>
        <w:gridCol w:w="106"/>
        <w:gridCol w:w="535"/>
        <w:gridCol w:w="105"/>
        <w:gridCol w:w="105"/>
        <w:gridCol w:w="921"/>
        <w:gridCol w:w="105"/>
        <w:gridCol w:w="105"/>
        <w:gridCol w:w="544"/>
        <w:gridCol w:w="105"/>
        <w:gridCol w:w="105"/>
        <w:gridCol w:w="224"/>
        <w:gridCol w:w="583"/>
        <w:gridCol w:w="120"/>
      </w:tblGrid>
      <w:tr w:rsidR="00000000">
        <w:trPr>
          <w:tblCellSpacing w:w="15" w:type="dxa"/>
        </w:trPr>
        <w:tc>
          <w:tcPr>
            <w:tcW w:w="1594" w:type="pct"/>
            <w:vAlign w:val="center"/>
            <w:hideMark/>
          </w:tcPr>
          <w:p w:rsidR="00000000" w:rsidRDefault="006D723D">
            <w:pPr>
              <w:rPr>
                <w:sz w:val="20"/>
                <w:szCs w:val="20"/>
              </w:rPr>
            </w:pPr>
          </w:p>
        </w:tc>
        <w:tc>
          <w:tcPr>
            <w:tcW w:w="3" w:type="pct"/>
            <w:vAlign w:val="center"/>
            <w:hideMark/>
          </w:tcPr>
          <w:p w:rsidR="00000000" w:rsidRDefault="006D723D">
            <w:pPr>
              <w:rPr>
                <w:rFonts w:eastAsia="Times New Roman"/>
                <w:sz w:val="20"/>
                <w:szCs w:val="20"/>
              </w:rPr>
            </w:pPr>
          </w:p>
        </w:tc>
        <w:tc>
          <w:tcPr>
            <w:tcW w:w="890"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8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9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689" w:type="pct"/>
            <w:vAlign w:val="center"/>
            <w:hideMark/>
          </w:tcPr>
          <w:p w:rsidR="00000000" w:rsidRDefault="006D723D">
            <w:pPr>
              <w:rPr>
                <w:rFonts w:eastAsia="Times New Roman"/>
                <w:sz w:val="20"/>
                <w:szCs w:val="20"/>
              </w:rPr>
            </w:pPr>
          </w:p>
        </w:tc>
        <w:tc>
          <w:tcPr>
            <w:tcW w:w="36"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606" w:type="pct"/>
            <w:vAlign w:val="center"/>
            <w:hideMark/>
          </w:tcPr>
          <w:p w:rsidR="00000000" w:rsidRDefault="006D723D">
            <w:pPr>
              <w:rPr>
                <w:rFonts w:eastAsia="Times New Roman"/>
                <w:sz w:val="20"/>
                <w:szCs w:val="20"/>
              </w:rPr>
            </w:pPr>
          </w:p>
        </w:tc>
        <w:tc>
          <w:tcPr>
            <w:tcW w:w="36"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14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b/>
                <w:bCs/>
                <w:sz w:val="16"/>
                <w:szCs w:val="16"/>
              </w:rPr>
              <w:t>Facility Nam</w:t>
            </w:r>
            <w:r>
              <w:rPr>
                <w:b/>
                <w:bCs/>
                <w:sz w:val="16"/>
                <w:szCs w:val="16"/>
              </w:rPr>
              <w:t>e</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b/>
                <w:bCs/>
                <w:sz w:val="16"/>
                <w:szCs w:val="16"/>
              </w:rPr>
              <w:t>Primary Custome</w:t>
            </w:r>
            <w:r>
              <w:rPr>
                <w:b/>
                <w:bCs/>
                <w:sz w:val="16"/>
                <w:szCs w:val="16"/>
              </w:rPr>
              <w:t>r</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rPr>
                <w:sz w:val="16"/>
                <w:szCs w:val="16"/>
              </w:rPr>
            </w:pPr>
            <w:r>
              <w:rPr>
                <w:b/>
                <w:bCs/>
                <w:sz w:val="16"/>
                <w:szCs w:val="16"/>
              </w:rPr>
              <w:t>Design</w:t>
            </w:r>
            <w:r>
              <w:rPr>
                <w:b/>
                <w:bCs/>
                <w:sz w:val="16"/>
                <w:szCs w:val="16"/>
              </w:rPr>
              <w:br/>
              <w:t>Capacity</w:t>
            </w:r>
            <w:r>
              <w:rPr>
                <w:b/>
                <w:bCs/>
                <w:sz w:val="16"/>
                <w:szCs w:val="16"/>
              </w:rPr>
              <w:br/>
              <w:t>(A</w:t>
            </w:r>
            <w:r>
              <w:rPr>
                <w:b/>
                <w:bCs/>
                <w:sz w:val="16"/>
                <w:szCs w:val="16"/>
              </w:rPr>
              <w:t>)</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Security Leve</w:t>
            </w:r>
            <w:r>
              <w:rPr>
                <w:b/>
                <w:bCs/>
                <w:sz w:val="16"/>
                <w:szCs w:val="16"/>
              </w:rPr>
              <w:t>l</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b/>
                <w:bCs/>
                <w:sz w:val="16"/>
                <w:szCs w:val="16"/>
              </w:rPr>
              <w:t>Facility Type</w:t>
            </w:r>
            <w:r>
              <w:rPr>
                <w:b/>
                <w:bCs/>
                <w:sz w:val="16"/>
                <w:szCs w:val="16"/>
              </w:rPr>
              <w:br/>
              <w:t>(B</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b/>
                <w:bCs/>
                <w:sz w:val="16"/>
                <w:szCs w:val="16"/>
              </w:rPr>
              <w:t>Ter</w:t>
            </w:r>
            <w:r>
              <w:rPr>
                <w:b/>
                <w:bCs/>
                <w:sz w:val="16"/>
                <w:szCs w:val="16"/>
              </w:rPr>
              <w:t>m</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Remaining</w:t>
            </w:r>
            <w:r>
              <w:rPr>
                <w:b/>
                <w:bCs/>
                <w:sz w:val="16"/>
                <w:szCs w:val="16"/>
              </w:rPr>
              <w:br/>
              <w:t>Renewal Options</w:t>
            </w:r>
            <w:r>
              <w:rPr>
                <w:b/>
                <w:bCs/>
                <w:sz w:val="16"/>
                <w:szCs w:val="16"/>
              </w:rPr>
              <w:br/>
              <w:t>(C</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Dallas Transitional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Texa</w:t>
            </w:r>
            <w:r>
              <w:rPr>
                <w:sz w:val="18"/>
                <w:szCs w:val="18"/>
              </w:rPr>
              <w:t>s</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30</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Communit</w:t>
            </w:r>
            <w:r>
              <w:rPr>
                <w:sz w:val="18"/>
                <w:szCs w:val="18"/>
              </w:rPr>
              <w:t>y</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Aug-2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Hutchins, Texa</w:t>
            </w:r>
            <w:r>
              <w:rPr>
                <w:sz w:val="18"/>
                <w:szCs w:val="18"/>
              </w:rPr>
              <w:t>s</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w:t>
            </w:r>
            <w:r>
              <w:rPr>
                <w:sz w:val="18"/>
                <w:szCs w:val="18"/>
              </w:rPr>
              <w:t>s</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El Paso Multi-Use Facilit</w:t>
            </w:r>
            <w:r>
              <w:rPr>
                <w:sz w:val="18"/>
                <w:szCs w:val="18"/>
              </w:rPr>
              <w:t>y</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Texa</w:t>
            </w:r>
            <w:r>
              <w:rPr>
                <w:sz w:val="18"/>
                <w:szCs w:val="18"/>
              </w:rPr>
              <w:t>s</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36</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Communit</w:t>
            </w:r>
            <w:r>
              <w:rPr>
                <w:sz w:val="18"/>
                <w:szCs w:val="18"/>
              </w:rPr>
              <w:t>y</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Aug-2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El Paso, Texa</w:t>
            </w:r>
            <w:r>
              <w:rPr>
                <w:sz w:val="18"/>
                <w:szCs w:val="18"/>
              </w:rPr>
              <w:t>s</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w:t>
            </w:r>
            <w:r>
              <w:rPr>
                <w:sz w:val="18"/>
                <w:szCs w:val="18"/>
              </w:rPr>
              <w:t>s</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El Paso Transitional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Texa</w:t>
            </w:r>
            <w:r>
              <w:rPr>
                <w:sz w:val="18"/>
                <w:szCs w:val="18"/>
              </w:rPr>
              <w:t>s</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22</w:t>
            </w:r>
            <w:r>
              <w:rPr>
                <w:sz w:val="18"/>
                <w:szCs w:val="18"/>
              </w:rPr>
              <w:t>4</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Communit</w:t>
            </w:r>
            <w:r>
              <w:rPr>
                <w:sz w:val="18"/>
                <w:szCs w:val="18"/>
              </w:rPr>
              <w:t>y</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Aug-2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El Paso, Texa</w:t>
            </w:r>
            <w:r>
              <w:rPr>
                <w:sz w:val="18"/>
                <w:szCs w:val="18"/>
              </w:rPr>
              <w:t>s</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w:t>
            </w:r>
            <w:r>
              <w:rPr>
                <w:sz w:val="18"/>
                <w:szCs w:val="18"/>
              </w:rPr>
              <w:t>s</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Fort Worth Transitional Cente</w:t>
            </w:r>
            <w:r>
              <w:rPr>
                <w:sz w:val="18"/>
                <w:szCs w:val="18"/>
              </w:rPr>
              <w:t>r</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Texa</w:t>
            </w:r>
            <w:r>
              <w:rPr>
                <w:sz w:val="18"/>
                <w:szCs w:val="18"/>
              </w:rPr>
              <w:t>s</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24</w:t>
            </w:r>
            <w:r>
              <w:rPr>
                <w:sz w:val="18"/>
                <w:szCs w:val="18"/>
              </w:rPr>
              <w:t>8</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Communit</w:t>
            </w:r>
            <w:r>
              <w:rPr>
                <w:sz w:val="18"/>
                <w:szCs w:val="18"/>
              </w:rPr>
              <w:t>y</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Aug-2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Fort Worth, Texa</w:t>
            </w:r>
            <w:r>
              <w:rPr>
                <w:sz w:val="18"/>
                <w:szCs w:val="18"/>
              </w:rPr>
              <w:t>s</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w:t>
            </w:r>
            <w:r>
              <w:rPr>
                <w:sz w:val="18"/>
                <w:szCs w:val="18"/>
              </w:rPr>
              <w:t>s</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Ghent Residential Reentry Cente</w:t>
            </w:r>
            <w:r>
              <w:rPr>
                <w:sz w:val="18"/>
                <w:szCs w:val="18"/>
              </w:rPr>
              <w:t>r</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BO</w:t>
            </w:r>
            <w:r>
              <w:rPr>
                <w:sz w:val="18"/>
                <w:szCs w:val="18"/>
              </w:rPr>
              <w:t>P</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3</w:t>
            </w:r>
            <w:r>
              <w:rPr>
                <w:sz w:val="18"/>
                <w:szCs w:val="18"/>
              </w:rPr>
              <w:t>6</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Communit</w:t>
            </w:r>
            <w:r>
              <w:rPr>
                <w:sz w:val="18"/>
                <w:szCs w:val="18"/>
              </w:rPr>
              <w:t>y</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Aug-2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(4) 1 yea</w:t>
            </w:r>
            <w:r>
              <w:rPr>
                <w:sz w:val="18"/>
                <w:szCs w:val="18"/>
              </w:rPr>
              <w:t>r</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Norfolk, Virgini</w:t>
            </w:r>
            <w:r>
              <w:rPr>
                <w:sz w:val="18"/>
                <w:szCs w:val="18"/>
              </w:rPr>
              <w:t>a</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w:t>
            </w:r>
            <w:r>
              <w:rPr>
                <w:sz w:val="18"/>
                <w:szCs w:val="18"/>
              </w:rPr>
              <w:t>s</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xml:space="preserve">James River Residential Reentry </w:t>
            </w:r>
            <w:r>
              <w:rPr>
                <w:sz w:val="18"/>
                <w:szCs w:val="18"/>
              </w:rPr>
              <w:br/>
              <w:t>  Cente</w:t>
            </w:r>
            <w:r>
              <w:rPr>
                <w:sz w:val="18"/>
                <w:szCs w:val="18"/>
              </w:rPr>
              <w:t>r</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BO</w:t>
            </w:r>
            <w:r>
              <w:rPr>
                <w:sz w:val="18"/>
                <w:szCs w:val="18"/>
              </w:rPr>
              <w:t>P</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8</w:t>
            </w:r>
            <w:r>
              <w:rPr>
                <w:sz w:val="18"/>
                <w:szCs w:val="18"/>
              </w:rPr>
              <w:t>4</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xml:space="preserve">Community </w:t>
            </w:r>
            <w:r>
              <w:rPr>
                <w:sz w:val="18"/>
                <w:szCs w:val="18"/>
              </w:rPr>
              <w:br/>
              <w:t>Correction</w:t>
            </w:r>
            <w:r>
              <w:rPr>
                <w:sz w:val="18"/>
                <w:szCs w:val="18"/>
              </w:rPr>
              <w:t>s</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Aug-2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(4) 1 yea</w:t>
            </w:r>
            <w:r>
              <w:rPr>
                <w:sz w:val="18"/>
                <w:szCs w:val="18"/>
              </w:rPr>
              <w:t>r</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Newport News, Virgini</w:t>
            </w:r>
            <w:r>
              <w:rPr>
                <w:sz w:val="18"/>
                <w:szCs w:val="18"/>
              </w:rPr>
              <w:t>a</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Cheyenne Transitional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Wyomin</w:t>
            </w:r>
            <w:r>
              <w:rPr>
                <w:sz w:val="18"/>
                <w:szCs w:val="18"/>
              </w:rPr>
              <w:t>g</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11</w:t>
            </w:r>
            <w:r>
              <w:rPr>
                <w:sz w:val="18"/>
                <w:szCs w:val="18"/>
              </w:rPr>
              <w:t>6</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Communit</w:t>
            </w:r>
            <w:r>
              <w:rPr>
                <w:sz w:val="18"/>
                <w:szCs w:val="18"/>
              </w:rPr>
              <w:t>y</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Jun-2</w:t>
            </w:r>
            <w:r>
              <w:rPr>
                <w:sz w:val="18"/>
                <w:szCs w:val="18"/>
              </w:rPr>
              <w:t>4</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(2) 1 year an</w:t>
            </w:r>
            <w:r>
              <w:rPr>
                <w:sz w:val="18"/>
                <w:szCs w:val="18"/>
              </w:rPr>
              <w:t>d</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Cheyenne, Wyomin</w:t>
            </w:r>
            <w:r>
              <w:rPr>
                <w:sz w:val="18"/>
                <w:szCs w:val="18"/>
              </w:rPr>
              <w:t>g</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Correction</w:t>
            </w:r>
            <w:r>
              <w:rPr>
                <w:sz w:val="18"/>
                <w:szCs w:val="18"/>
              </w:rPr>
              <w:t>s</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(1) 1 yea</w:t>
            </w:r>
            <w:r>
              <w:rPr>
                <w:sz w:val="18"/>
                <w:szCs w:val="18"/>
              </w:rPr>
              <w:t>r</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b/>
                <w:bCs/>
                <w:sz w:val="18"/>
                <w:szCs w:val="18"/>
              </w:rPr>
              <w:t xml:space="preserve">Total design capacity for CoreCivic </w:t>
            </w:r>
            <w:r>
              <w:rPr>
                <w:b/>
                <w:bCs/>
                <w:sz w:val="18"/>
                <w:szCs w:val="18"/>
              </w:rPr>
              <w:br/>
              <w:t>   Community Facilitie</w:t>
            </w:r>
            <w:r>
              <w:rPr>
                <w:b/>
                <w:bCs/>
                <w:sz w:val="18"/>
                <w:szCs w:val="18"/>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4,66</w:t>
            </w:r>
            <w:r>
              <w:rPr>
                <w:sz w:val="18"/>
                <w:szCs w:val="18"/>
              </w:rPr>
              <w:t>9</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bl>
    <w:p w:rsidR="00000000" w:rsidRDefault="006D723D">
      <w:pPr>
        <w:pStyle w:val="a3"/>
        <w:spacing w:before="120" w:beforeAutospacing="0" w:after="0" w:afterAutospacing="0"/>
        <w:jc w:val="both"/>
        <w:rPr>
          <w:sz w:val="20"/>
          <w:szCs w:val="20"/>
        </w:rPr>
      </w:pPr>
      <w:r>
        <w:rPr>
          <w:sz w:val="20"/>
          <w:szCs w:val="20"/>
        </w:rPr>
        <w:t> </w:t>
      </w:r>
    </w:p>
    <w:p w:rsidR="00000000" w:rsidRDefault="006D723D">
      <w:pPr>
        <w:pStyle w:val="a3"/>
        <w:spacing w:before="120" w:beforeAutospacing="0" w:after="0" w:afterAutospacing="0"/>
        <w:jc w:val="both"/>
        <w:rPr>
          <w:sz w:val="20"/>
          <w:szCs w:val="20"/>
        </w:rPr>
      </w:pPr>
      <w:r>
        <w:rPr>
          <w:sz w:val="20"/>
          <w:szCs w:val="20"/>
        </w:rPr>
        <w:t>*Held for Sal</w:t>
      </w:r>
      <w:r>
        <w:rPr>
          <w:sz w:val="20"/>
          <w:szCs w:val="20"/>
        </w:rPr>
        <w:t>e</w: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center"/>
        <w:rPr>
          <w:sz w:val="20"/>
          <w:szCs w:val="20"/>
        </w:rPr>
      </w:pPr>
      <w:r>
        <w:rPr>
          <w:sz w:val="20"/>
          <w:szCs w:val="20"/>
        </w:rPr>
        <w:t>2</w:t>
      </w:r>
      <w:r>
        <w:rPr>
          <w:sz w:val="20"/>
          <w:szCs w:val="20"/>
        </w:rPr>
        <w:t>6</w:t>
      </w:r>
    </w:p>
    <w:p w:rsidR="00000000" w:rsidRDefault="006D723D">
      <w:pPr>
        <w:rPr>
          <w:rFonts w:eastAsia="Times New Roman"/>
        </w:rPr>
      </w:pPr>
      <w:r>
        <w:rPr>
          <w:rFonts w:eastAsia="Times New Roman"/>
        </w:rPr>
        <w:pict>
          <v:rect id="_x0000_i1050"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jc w:val="both"/>
        <w:rPr>
          <w:sz w:val="20"/>
          <w:szCs w:val="20"/>
        </w:rPr>
      </w:pPr>
      <w:r>
        <w:rPr>
          <w:sz w:val="20"/>
          <w:szCs w:val="20"/>
        </w:rPr>
        <w:t> </w:t>
      </w:r>
    </w:p>
    <w:p w:rsidR="00000000" w:rsidRDefault="006D723D">
      <w:pPr>
        <w:jc w:val="both"/>
        <w:divId w:val="1727610518"/>
        <w:rPr>
          <w:rFonts w:eastAsia="Times New Roman"/>
        </w:rPr>
      </w:pPr>
      <w:r>
        <w:rPr>
          <w:rFonts w:eastAsia="Times New Roman"/>
          <w:sz w:val="20"/>
          <w:szCs w:val="20"/>
        </w:rPr>
        <w:t>(A</w:t>
      </w:r>
      <w:r>
        <w:rPr>
          <w:rFonts w:eastAsia="Times New Roman"/>
          <w:sz w:val="20"/>
          <w:szCs w:val="20"/>
        </w:rPr>
        <w:t>)</w:t>
      </w:r>
    </w:p>
    <w:p w:rsidR="00000000" w:rsidRDefault="006D723D">
      <w:pPr>
        <w:jc w:val="both"/>
        <w:divId w:val="1307588721"/>
        <w:rPr>
          <w:rFonts w:eastAsia="Times New Roman"/>
        </w:rPr>
      </w:pPr>
      <w:r>
        <w:rPr>
          <w:rFonts w:eastAsia="Times New Roman"/>
          <w:sz w:val="20"/>
          <w:szCs w:val="20"/>
        </w:rPr>
        <w:t xml:space="preserve">Design capacity measures the number of beds, and accordingly, the number of offenders each facility is designed to accommodate. Facilities housing detainees on a short-term basis may exceed the original intended </w:t>
      </w:r>
      <w:r>
        <w:rPr>
          <w:rFonts w:eastAsia="Times New Roman"/>
          <w:sz w:val="20"/>
          <w:szCs w:val="20"/>
        </w:rPr>
        <w:t>design capacity due to the lower level of services required by detainees in custody for a brief period. From time to time, we may evaluate the design capacity of our facilities based on the customers using the facilities, and the ability to reconfigure spa</w:t>
      </w:r>
      <w:r>
        <w:rPr>
          <w:rFonts w:eastAsia="Times New Roman"/>
          <w:sz w:val="20"/>
          <w:szCs w:val="20"/>
        </w:rPr>
        <w:t>ce with minimal capital outlays.</w:t>
      </w:r>
      <w:r>
        <w:rPr>
          <w:rFonts w:eastAsia="Times New Roman"/>
          <w:sz w:val="20"/>
          <w:szCs w:val="20"/>
        </w:rPr>
        <w:t xml:space="preserve"> </w:t>
      </w:r>
    </w:p>
    <w:p w:rsidR="00000000" w:rsidRDefault="006D723D">
      <w:pPr>
        <w:jc w:val="both"/>
        <w:divId w:val="801115176"/>
        <w:rPr>
          <w:rFonts w:eastAsia="Times New Roman"/>
        </w:rPr>
      </w:pPr>
      <w:r>
        <w:rPr>
          <w:rFonts w:eastAsia="Times New Roman"/>
          <w:sz w:val="20"/>
          <w:szCs w:val="20"/>
        </w:rPr>
        <w:t>(B</w:t>
      </w:r>
      <w:r>
        <w:rPr>
          <w:rFonts w:eastAsia="Times New Roman"/>
          <w:sz w:val="20"/>
          <w:szCs w:val="20"/>
        </w:rPr>
        <w:t>)</w:t>
      </w:r>
    </w:p>
    <w:p w:rsidR="00000000" w:rsidRDefault="006D723D">
      <w:pPr>
        <w:jc w:val="both"/>
        <w:divId w:val="422724847"/>
        <w:rPr>
          <w:rFonts w:eastAsia="Times New Roman"/>
        </w:rPr>
      </w:pPr>
      <w:r>
        <w:rPr>
          <w:rFonts w:eastAsia="Times New Roman"/>
          <w:sz w:val="20"/>
          <w:szCs w:val="20"/>
        </w:rPr>
        <w:t>We manage numerous facilities that have more than a single function (i.e., housing both long-term sentenced adult prisoners and pre-trial detainees). The primary functional categories into which facility types are iden</w:t>
      </w:r>
      <w:r>
        <w:rPr>
          <w:rFonts w:eastAsia="Times New Roman"/>
          <w:sz w:val="20"/>
          <w:szCs w:val="20"/>
        </w:rPr>
        <w:t>tified were determined by the relative size of offender populations in a particular facility on December 31, 2022. If, for example, a 1,000-bed facility cared for 900 adult offenders with sentences in excess of one year and 100 pre-trial detainees, the pri</w:t>
      </w:r>
      <w:r>
        <w:rPr>
          <w:rFonts w:eastAsia="Times New Roman"/>
          <w:sz w:val="20"/>
          <w:szCs w:val="20"/>
        </w:rPr>
        <w:t>mary functional category to which it would be assigned would be that of correctional facilities and not detention facilities. It should be understood that the primary functional category to which multi-user facilities are assigned may change from time to t</w:t>
      </w:r>
      <w:r>
        <w:rPr>
          <w:rFonts w:eastAsia="Times New Roman"/>
          <w:sz w:val="20"/>
          <w:szCs w:val="20"/>
        </w:rPr>
        <w:t>ime.</w:t>
      </w:r>
      <w:r>
        <w:rPr>
          <w:rFonts w:eastAsia="Times New Roman"/>
          <w:sz w:val="20"/>
          <w:szCs w:val="20"/>
        </w:rPr>
        <w:t xml:space="preserve"> </w:t>
      </w:r>
    </w:p>
    <w:p w:rsidR="00000000" w:rsidRDefault="006D723D">
      <w:pPr>
        <w:jc w:val="both"/>
        <w:divId w:val="1589121552"/>
        <w:rPr>
          <w:rFonts w:eastAsia="Times New Roman"/>
        </w:rPr>
      </w:pPr>
      <w:r>
        <w:rPr>
          <w:rFonts w:eastAsia="Times New Roman"/>
          <w:sz w:val="20"/>
          <w:szCs w:val="20"/>
        </w:rPr>
        <w:t>(C</w:t>
      </w:r>
      <w:r>
        <w:rPr>
          <w:rFonts w:eastAsia="Times New Roman"/>
          <w:sz w:val="20"/>
          <w:szCs w:val="20"/>
        </w:rPr>
        <w:t>)</w:t>
      </w:r>
    </w:p>
    <w:p w:rsidR="00000000" w:rsidRDefault="006D723D">
      <w:pPr>
        <w:jc w:val="both"/>
        <w:divId w:val="1536426273"/>
        <w:rPr>
          <w:rFonts w:eastAsia="Times New Roman"/>
        </w:rPr>
      </w:pPr>
      <w:r>
        <w:rPr>
          <w:rFonts w:eastAsia="Times New Roman"/>
          <w:sz w:val="20"/>
          <w:szCs w:val="20"/>
        </w:rPr>
        <w:t>Remaining renewal options represents the number of renewal options, if applicable, and the term of each option renewal</w:t>
      </w:r>
      <w:r>
        <w:rPr>
          <w:rFonts w:eastAsia="Times New Roman"/>
          <w:sz w:val="20"/>
          <w:szCs w:val="20"/>
        </w:rPr>
        <w:t>.</w:t>
      </w:r>
    </w:p>
    <w:p w:rsidR="00000000" w:rsidRDefault="006D723D">
      <w:pPr>
        <w:jc w:val="both"/>
        <w:divId w:val="1245186707"/>
        <w:rPr>
          <w:rFonts w:eastAsia="Times New Roman"/>
        </w:rPr>
      </w:pPr>
      <w:r>
        <w:rPr>
          <w:rFonts w:eastAsia="Times New Roman"/>
          <w:sz w:val="20"/>
          <w:szCs w:val="20"/>
        </w:rPr>
        <w:t>(D</w:t>
      </w:r>
      <w:r>
        <w:rPr>
          <w:rFonts w:eastAsia="Times New Roman"/>
          <w:sz w:val="20"/>
          <w:szCs w:val="20"/>
        </w:rPr>
        <w:t>)</w:t>
      </w:r>
    </w:p>
    <w:p w:rsidR="00000000" w:rsidRDefault="006D723D">
      <w:pPr>
        <w:jc w:val="both"/>
        <w:divId w:val="2008095945"/>
        <w:rPr>
          <w:rFonts w:eastAsia="Times New Roman"/>
        </w:rPr>
      </w:pPr>
      <w:r>
        <w:rPr>
          <w:rFonts w:eastAsia="Times New Roman"/>
          <w:sz w:val="20"/>
          <w:szCs w:val="20"/>
        </w:rPr>
        <w:t xml:space="preserve">Pursuant to the terms of a contract awarded by the state of Arizona in September 2012, the state of Arizona has an option </w:t>
      </w:r>
      <w:r>
        <w:rPr>
          <w:rFonts w:eastAsia="Times New Roman"/>
          <w:sz w:val="20"/>
          <w:szCs w:val="20"/>
        </w:rPr>
        <w:t>to purchase the Red Rock facility at any time during the term of the contract, including extension options, based on an amortization schedule starting with the fair market value and decreasing evenly to zero over the 20-year term of the contract.</w:t>
      </w:r>
      <w:r>
        <w:rPr>
          <w:rFonts w:eastAsia="Times New Roman"/>
          <w:sz w:val="20"/>
          <w:szCs w:val="20"/>
        </w:rPr>
        <w:t xml:space="preserve"> </w:t>
      </w:r>
    </w:p>
    <w:p w:rsidR="00000000" w:rsidRDefault="006D723D">
      <w:pPr>
        <w:jc w:val="both"/>
        <w:divId w:val="1642880110"/>
        <w:rPr>
          <w:rFonts w:eastAsia="Times New Roman"/>
        </w:rPr>
      </w:pPr>
      <w:r>
        <w:rPr>
          <w:rFonts w:eastAsia="Times New Roman"/>
          <w:sz w:val="20"/>
          <w:szCs w:val="20"/>
        </w:rPr>
        <w:t>(E</w:t>
      </w:r>
      <w:r>
        <w:rPr>
          <w:rFonts w:eastAsia="Times New Roman"/>
          <w:sz w:val="20"/>
          <w:szCs w:val="20"/>
        </w:rPr>
        <w:t>)</w:t>
      </w:r>
    </w:p>
    <w:p w:rsidR="00000000" w:rsidRDefault="006D723D">
      <w:pPr>
        <w:jc w:val="both"/>
        <w:divId w:val="573659588"/>
        <w:rPr>
          <w:rFonts w:eastAsia="Times New Roman"/>
        </w:rPr>
      </w:pPr>
      <w:r>
        <w:rPr>
          <w:rFonts w:eastAsia="Times New Roman"/>
          <w:sz w:val="20"/>
          <w:szCs w:val="20"/>
        </w:rPr>
        <w:t>Thes</w:t>
      </w:r>
      <w:r>
        <w:rPr>
          <w:rFonts w:eastAsia="Times New Roman"/>
          <w:sz w:val="20"/>
          <w:szCs w:val="20"/>
        </w:rPr>
        <w:t>e facilities are subject to purchase options held by the GDOC, which grants the GDOC the right to purchase the facility for the lesser of the facility's depreciated book value, as defined, or fair market value at any time during the term of the contract be</w:t>
      </w:r>
      <w:r>
        <w:rPr>
          <w:rFonts w:eastAsia="Times New Roman"/>
          <w:sz w:val="20"/>
          <w:szCs w:val="20"/>
        </w:rPr>
        <w:t>tween the GDOC and us</w:t>
      </w:r>
      <w:r>
        <w:rPr>
          <w:rFonts w:eastAsia="Times New Roman"/>
          <w:sz w:val="20"/>
          <w:szCs w:val="20"/>
        </w:rPr>
        <w:t>.</w:t>
      </w:r>
    </w:p>
    <w:p w:rsidR="00000000" w:rsidRDefault="006D723D">
      <w:pPr>
        <w:jc w:val="both"/>
        <w:divId w:val="751200241"/>
        <w:rPr>
          <w:rFonts w:eastAsia="Times New Roman"/>
        </w:rPr>
      </w:pPr>
      <w:r>
        <w:rPr>
          <w:rFonts w:eastAsia="Times New Roman"/>
          <w:sz w:val="20"/>
          <w:szCs w:val="20"/>
        </w:rPr>
        <w:t>(F</w:t>
      </w:r>
      <w:r>
        <w:rPr>
          <w:rFonts w:eastAsia="Times New Roman"/>
          <w:sz w:val="20"/>
          <w:szCs w:val="20"/>
        </w:rPr>
        <w:t>)</w:t>
      </w:r>
    </w:p>
    <w:p w:rsidR="00000000" w:rsidRDefault="006D723D">
      <w:pPr>
        <w:jc w:val="both"/>
        <w:divId w:val="2096632784"/>
        <w:rPr>
          <w:rFonts w:eastAsia="Times New Roman"/>
        </w:rPr>
      </w:pPr>
      <w:r>
        <w:rPr>
          <w:rFonts w:eastAsia="Times New Roman"/>
          <w:sz w:val="20"/>
          <w:szCs w:val="20"/>
        </w:rPr>
        <w:t>The facility is subject to a purchase option held by the Tallahatchie County Correctional Authority that grants Tallahatchie County Correctional Authority the right to purchase the facility at any time during the contract at a pr</w:t>
      </w:r>
      <w:r>
        <w:rPr>
          <w:rFonts w:eastAsia="Times New Roman"/>
          <w:sz w:val="20"/>
          <w:szCs w:val="20"/>
        </w:rPr>
        <w:t>ice generally equal to the cost of the premises less an allowance for amortization that originally occurred over a 20-year period. The amortization period was extended through 2050 in connection with an expansion completed during the fourth quarter of 2007</w:t>
      </w:r>
      <w:r>
        <w:rPr>
          <w:rFonts w:eastAsia="Times New Roman"/>
          <w:sz w:val="20"/>
          <w:szCs w:val="20"/>
        </w:rPr>
        <w:t>.</w:t>
      </w:r>
    </w:p>
    <w:p w:rsidR="00000000" w:rsidRDefault="006D723D">
      <w:pPr>
        <w:jc w:val="both"/>
        <w:divId w:val="1810245441"/>
        <w:rPr>
          <w:rFonts w:eastAsia="Times New Roman"/>
        </w:rPr>
      </w:pPr>
      <w:r>
        <w:rPr>
          <w:rFonts w:eastAsia="Times New Roman"/>
          <w:sz w:val="20"/>
          <w:szCs w:val="20"/>
        </w:rPr>
        <w:t>(G</w:t>
      </w:r>
      <w:r>
        <w:rPr>
          <w:rFonts w:eastAsia="Times New Roman"/>
          <w:sz w:val="20"/>
          <w:szCs w:val="20"/>
        </w:rPr>
        <w:t>)</w:t>
      </w:r>
    </w:p>
    <w:p w:rsidR="00000000" w:rsidRDefault="006D723D">
      <w:pPr>
        <w:jc w:val="both"/>
        <w:divId w:val="622347155"/>
        <w:rPr>
          <w:rFonts w:eastAsia="Times New Roman"/>
        </w:rPr>
      </w:pPr>
      <w:r>
        <w:rPr>
          <w:rFonts w:eastAsia="Times New Roman"/>
          <w:sz w:val="20"/>
          <w:szCs w:val="20"/>
        </w:rPr>
        <w:t>The state of Montana has an option to purchase the facility generally at any time during the term of the contract with us at fair market value less the sum of a pre-determined portion of per-diem payments made to us by the state of Montana</w:t>
      </w:r>
      <w:r>
        <w:rPr>
          <w:rFonts w:eastAsia="Times New Roman"/>
          <w:sz w:val="20"/>
          <w:szCs w:val="20"/>
        </w:rPr>
        <w:t>.</w:t>
      </w:r>
    </w:p>
    <w:p w:rsidR="00000000" w:rsidRDefault="006D723D">
      <w:pPr>
        <w:jc w:val="both"/>
        <w:divId w:val="950280944"/>
        <w:rPr>
          <w:rFonts w:eastAsia="Times New Roman"/>
        </w:rPr>
      </w:pPr>
      <w:r>
        <w:rPr>
          <w:rFonts w:eastAsia="Times New Roman"/>
          <w:sz w:val="20"/>
          <w:szCs w:val="20"/>
        </w:rPr>
        <w:t>(H</w:t>
      </w:r>
      <w:r>
        <w:rPr>
          <w:rFonts w:eastAsia="Times New Roman"/>
          <w:sz w:val="20"/>
          <w:szCs w:val="20"/>
        </w:rPr>
        <w:t>)</w:t>
      </w:r>
    </w:p>
    <w:p w:rsidR="00000000" w:rsidRDefault="006D723D">
      <w:pPr>
        <w:jc w:val="both"/>
        <w:divId w:val="2146459369"/>
        <w:rPr>
          <w:rFonts w:eastAsia="Times New Roman"/>
        </w:rPr>
      </w:pPr>
      <w:r>
        <w:rPr>
          <w:rFonts w:eastAsia="Times New Roman"/>
          <w:sz w:val="20"/>
          <w:szCs w:val="20"/>
        </w:rPr>
        <w:t>The s</w:t>
      </w:r>
      <w:r>
        <w:rPr>
          <w:rFonts w:eastAsia="Times New Roman"/>
          <w:sz w:val="20"/>
          <w:szCs w:val="20"/>
        </w:rPr>
        <w:t>tate of Ohio has the irrevocable right to repurchase the facility before we may resell the facility to a third party, or if we become insolvent or are unable to meet our obligations under the management contract with the state of Ohio, at a price generally</w:t>
      </w:r>
      <w:r>
        <w:rPr>
          <w:rFonts w:eastAsia="Times New Roman"/>
          <w:sz w:val="20"/>
          <w:szCs w:val="20"/>
        </w:rPr>
        <w:t xml:space="preserve"> equal to the fair market value.</w:t>
      </w:r>
      <w:r>
        <w:rPr>
          <w:rFonts w:eastAsia="Times New Roman"/>
          <w:sz w:val="20"/>
          <w:szCs w:val="20"/>
        </w:rPr>
        <w:t xml:space="preserve"> </w:t>
      </w:r>
    </w:p>
    <w:p w:rsidR="00000000" w:rsidRDefault="006D723D">
      <w:pPr>
        <w:jc w:val="both"/>
        <w:divId w:val="1412124641"/>
        <w:rPr>
          <w:rFonts w:eastAsia="Times New Roman"/>
        </w:rPr>
      </w:pPr>
      <w:r>
        <w:rPr>
          <w:rFonts w:eastAsia="Times New Roman"/>
          <w:sz w:val="20"/>
          <w:szCs w:val="20"/>
        </w:rPr>
        <w:t>(I</w:t>
      </w:r>
      <w:r>
        <w:rPr>
          <w:rFonts w:eastAsia="Times New Roman"/>
          <w:sz w:val="20"/>
          <w:szCs w:val="20"/>
        </w:rPr>
        <w:t>)</w:t>
      </w:r>
    </w:p>
    <w:p w:rsidR="00000000" w:rsidRDefault="006D723D">
      <w:pPr>
        <w:jc w:val="both"/>
        <w:divId w:val="1745569766"/>
        <w:rPr>
          <w:rFonts w:eastAsia="Times New Roman"/>
        </w:rPr>
      </w:pPr>
      <w:r>
        <w:rPr>
          <w:rFonts w:eastAsia="Times New Roman"/>
          <w:sz w:val="20"/>
          <w:szCs w:val="20"/>
        </w:rPr>
        <w:t>This facility is subject to a purchase option held by the Oklahoma Department of Corrections, or ODOC, which grants the ODOC the right to purchase the facility at its fair market value at any time during the term of th</w:t>
      </w:r>
      <w:r>
        <w:rPr>
          <w:rFonts w:eastAsia="Times New Roman"/>
          <w:sz w:val="20"/>
          <w:szCs w:val="20"/>
        </w:rPr>
        <w:t>e contract with the ODOC</w:t>
      </w:r>
      <w:r>
        <w:rPr>
          <w:rFonts w:eastAsia="Times New Roman"/>
          <w:sz w:val="20"/>
          <w:szCs w:val="20"/>
        </w:rPr>
        <w:t>.</w:t>
      </w:r>
    </w:p>
    <w:p w:rsidR="00000000" w:rsidRDefault="006D723D">
      <w:pPr>
        <w:jc w:val="both"/>
        <w:divId w:val="124273881"/>
        <w:rPr>
          <w:rFonts w:eastAsia="Times New Roman"/>
        </w:rPr>
      </w:pPr>
      <w:r>
        <w:rPr>
          <w:rFonts w:eastAsia="Times New Roman"/>
          <w:sz w:val="20"/>
          <w:szCs w:val="20"/>
        </w:rPr>
        <w:t>(J</w:t>
      </w:r>
      <w:r>
        <w:rPr>
          <w:rFonts w:eastAsia="Times New Roman"/>
          <w:sz w:val="20"/>
          <w:szCs w:val="20"/>
        </w:rPr>
        <w:t>)</w:t>
      </w:r>
    </w:p>
    <w:p w:rsidR="00000000" w:rsidRDefault="006D723D">
      <w:pPr>
        <w:jc w:val="both"/>
        <w:divId w:val="2099013636"/>
        <w:rPr>
          <w:rFonts w:eastAsia="Times New Roman"/>
        </w:rPr>
      </w:pPr>
      <w:r>
        <w:rPr>
          <w:rFonts w:eastAsia="Times New Roman"/>
          <w:sz w:val="20"/>
          <w:szCs w:val="20"/>
        </w:rPr>
        <w:t xml:space="preserve">The state of Tennessee has the option to purchase the facility in the event of our bankruptcy, or upon an operational or financial breach under the management agreement, at a price equal to the book value, as determined under </w:t>
      </w:r>
      <w:r>
        <w:rPr>
          <w:rFonts w:eastAsia="Times New Roman"/>
          <w:sz w:val="20"/>
          <w:szCs w:val="20"/>
        </w:rPr>
        <w:t>such agreement.</w:t>
      </w:r>
      <w:r>
        <w:rPr>
          <w:rFonts w:eastAsia="Times New Roman"/>
          <w:sz w:val="20"/>
          <w:szCs w:val="20"/>
        </w:rPr>
        <w:t xml:space="preserve"> </w: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center"/>
        <w:rPr>
          <w:sz w:val="20"/>
          <w:szCs w:val="20"/>
        </w:rPr>
      </w:pPr>
      <w:r>
        <w:rPr>
          <w:sz w:val="20"/>
          <w:szCs w:val="20"/>
        </w:rPr>
        <w:t>2</w:t>
      </w:r>
      <w:r>
        <w:rPr>
          <w:sz w:val="20"/>
          <w:szCs w:val="20"/>
        </w:rPr>
        <w:t>7</w:t>
      </w:r>
    </w:p>
    <w:p w:rsidR="00000000" w:rsidRDefault="006D723D">
      <w:pPr>
        <w:rPr>
          <w:rFonts w:eastAsia="Times New Roman"/>
        </w:rPr>
      </w:pPr>
      <w:r>
        <w:rPr>
          <w:rFonts w:eastAsia="Times New Roman"/>
        </w:rPr>
        <w:pict>
          <v:rect id="_x0000_i1051"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360" w:beforeAutospacing="0" w:after="0" w:afterAutospacing="0"/>
        <w:jc w:val="both"/>
        <w:rPr>
          <w:sz w:val="20"/>
          <w:szCs w:val="20"/>
        </w:rPr>
      </w:pPr>
      <w:r>
        <w:rPr>
          <w:b/>
          <w:bCs/>
          <w:i/>
          <w:iCs/>
          <w:sz w:val="20"/>
          <w:szCs w:val="20"/>
        </w:rPr>
        <w:t>CoreCivic Propertie</w:t>
      </w:r>
      <w:r>
        <w:rPr>
          <w:b/>
          <w:bCs/>
          <w:i/>
          <w:iCs/>
          <w:sz w:val="20"/>
          <w:szCs w:val="20"/>
        </w:rPr>
        <w:t>s</w:t>
      </w:r>
      <w:r>
        <w:rPr>
          <w:b/>
          <w:bCs/>
          <w:i/>
          <w:iCs/>
          <w:sz w:val="20"/>
          <w:szCs w:val="20"/>
        </w:rPr>
        <w:t xml:space="preserve"> </w:t>
      </w:r>
    </w:p>
    <w:p w:rsidR="00000000" w:rsidRDefault="006D723D">
      <w:pPr>
        <w:pStyle w:val="a3"/>
        <w:spacing w:before="120" w:beforeAutospacing="0" w:after="0" w:afterAutospacing="0"/>
        <w:jc w:val="both"/>
        <w:rPr>
          <w:sz w:val="20"/>
          <w:szCs w:val="20"/>
        </w:rPr>
      </w:pPr>
      <w:r>
        <w:rPr>
          <w:sz w:val="20"/>
          <w:szCs w:val="20"/>
        </w:rPr>
        <w:t xml:space="preserve">Through our CoreCivic Properties segment, we owned 8 properties leased to government agencies. </w:t>
      </w:r>
      <w:r>
        <w:rPr>
          <w:sz w:val="20"/>
          <w:szCs w:val="20"/>
        </w:rPr>
        <w:t>The following table includes certain information regarding each property</w:t>
      </w:r>
      <w:r>
        <w:rPr>
          <w:sz w:val="20"/>
          <w:szCs w:val="20"/>
        </w:rPr>
        <w:t>.</w:t>
      </w:r>
      <w:r>
        <w:rPr>
          <w:sz w:val="20"/>
          <w:szCs w:val="20"/>
        </w:rPr>
        <w:t xml:space="preserve"> </w:t>
      </w:r>
    </w:p>
    <w:p w:rsidR="00000000" w:rsidRDefault="006D723D">
      <w:pPr>
        <w:pStyle w:val="a3"/>
        <w:spacing w:before="12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45"/>
        <w:gridCol w:w="105"/>
        <w:gridCol w:w="1573"/>
        <w:gridCol w:w="105"/>
        <w:gridCol w:w="674"/>
        <w:gridCol w:w="105"/>
        <w:gridCol w:w="165"/>
        <w:gridCol w:w="509"/>
        <w:gridCol w:w="105"/>
        <w:gridCol w:w="105"/>
        <w:gridCol w:w="105"/>
        <w:gridCol w:w="780"/>
        <w:gridCol w:w="105"/>
        <w:gridCol w:w="105"/>
        <w:gridCol w:w="624"/>
        <w:gridCol w:w="174"/>
        <w:gridCol w:w="822"/>
      </w:tblGrid>
      <w:tr w:rsidR="00000000">
        <w:trPr>
          <w:tblCellSpacing w:w="15" w:type="dxa"/>
        </w:trPr>
        <w:tc>
          <w:tcPr>
            <w:tcW w:w="1619" w:type="pct"/>
            <w:vAlign w:val="center"/>
            <w:hideMark/>
          </w:tcPr>
          <w:p w:rsidR="00000000" w:rsidRDefault="006D723D">
            <w:pPr>
              <w:rPr>
                <w:sz w:val="20"/>
                <w:szCs w:val="20"/>
              </w:rPr>
            </w:pPr>
          </w:p>
        </w:tc>
        <w:tc>
          <w:tcPr>
            <w:tcW w:w="19" w:type="pct"/>
            <w:vAlign w:val="center"/>
            <w:hideMark/>
          </w:tcPr>
          <w:p w:rsidR="00000000" w:rsidRDefault="006D723D">
            <w:pPr>
              <w:rPr>
                <w:rFonts w:eastAsia="Times New Roman"/>
                <w:sz w:val="20"/>
                <w:szCs w:val="20"/>
              </w:rPr>
            </w:pPr>
          </w:p>
        </w:tc>
        <w:tc>
          <w:tcPr>
            <w:tcW w:w="1260" w:type="pct"/>
            <w:vAlign w:val="center"/>
            <w:hideMark/>
          </w:tcPr>
          <w:p w:rsidR="00000000" w:rsidRDefault="006D723D">
            <w:pPr>
              <w:rPr>
                <w:rFonts w:eastAsia="Times New Roman"/>
                <w:sz w:val="20"/>
                <w:szCs w:val="20"/>
              </w:rPr>
            </w:pPr>
          </w:p>
        </w:tc>
        <w:tc>
          <w:tcPr>
            <w:tcW w:w="19" w:type="pct"/>
            <w:vAlign w:val="center"/>
            <w:hideMark/>
          </w:tcPr>
          <w:p w:rsidR="00000000" w:rsidRDefault="006D723D">
            <w:pPr>
              <w:rPr>
                <w:rFonts w:eastAsia="Times New Roman"/>
                <w:sz w:val="20"/>
                <w:szCs w:val="20"/>
              </w:rPr>
            </w:pPr>
          </w:p>
        </w:tc>
        <w:tc>
          <w:tcPr>
            <w:tcW w:w="346" w:type="pct"/>
            <w:vAlign w:val="center"/>
            <w:hideMark/>
          </w:tcPr>
          <w:p w:rsidR="00000000" w:rsidRDefault="006D723D">
            <w:pPr>
              <w:rPr>
                <w:rFonts w:eastAsia="Times New Roman"/>
                <w:sz w:val="20"/>
                <w:szCs w:val="20"/>
              </w:rPr>
            </w:pPr>
          </w:p>
        </w:tc>
        <w:tc>
          <w:tcPr>
            <w:tcW w:w="1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17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1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5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19" w:type="pct"/>
            <w:vAlign w:val="center"/>
            <w:hideMark/>
          </w:tcPr>
          <w:p w:rsidR="00000000" w:rsidRDefault="006D723D">
            <w:pPr>
              <w:rPr>
                <w:rFonts w:eastAsia="Times New Roman"/>
                <w:sz w:val="20"/>
                <w:szCs w:val="20"/>
              </w:rPr>
            </w:pPr>
          </w:p>
        </w:tc>
        <w:tc>
          <w:tcPr>
            <w:tcW w:w="383" w:type="pct"/>
            <w:vAlign w:val="center"/>
            <w:hideMark/>
          </w:tcPr>
          <w:p w:rsidR="00000000" w:rsidRDefault="006D723D">
            <w:pPr>
              <w:rPr>
                <w:rFonts w:eastAsia="Times New Roman"/>
                <w:sz w:val="20"/>
                <w:szCs w:val="20"/>
              </w:rPr>
            </w:pPr>
          </w:p>
        </w:tc>
        <w:tc>
          <w:tcPr>
            <w:tcW w:w="93" w:type="pct"/>
            <w:vAlign w:val="center"/>
            <w:hideMark/>
          </w:tcPr>
          <w:p w:rsidR="00000000" w:rsidRDefault="006D723D">
            <w:pPr>
              <w:rPr>
                <w:rFonts w:eastAsia="Times New Roman"/>
                <w:sz w:val="20"/>
                <w:szCs w:val="20"/>
              </w:rPr>
            </w:pPr>
          </w:p>
        </w:tc>
        <w:tc>
          <w:tcPr>
            <w:tcW w:w="468" w:type="pct"/>
            <w:vAlign w:val="center"/>
            <w:hideMark/>
          </w:tcPr>
          <w:p w:rsidR="00000000" w:rsidRDefault="006D723D">
            <w:pPr>
              <w:rPr>
                <w:rFonts w:eastAsia="Times New Roman"/>
                <w:sz w:val="20"/>
                <w:szCs w:val="20"/>
              </w:rPr>
            </w:pP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b/>
                <w:bCs/>
                <w:sz w:val="16"/>
                <w:szCs w:val="16"/>
              </w:rPr>
              <w:t>Property Nam</w:t>
            </w:r>
            <w:r>
              <w:rPr>
                <w:b/>
                <w:bCs/>
                <w:sz w:val="16"/>
                <w:szCs w:val="16"/>
              </w:rPr>
              <w:t>e</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b/>
                <w:bCs/>
                <w:sz w:val="16"/>
                <w:szCs w:val="16"/>
              </w:rPr>
              <w:t>Primary Custome</w:t>
            </w:r>
            <w:r>
              <w:rPr>
                <w:b/>
                <w:bCs/>
                <w:sz w:val="16"/>
                <w:szCs w:val="16"/>
              </w:rPr>
              <w:t>r</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b/>
                <w:bCs/>
                <w:sz w:val="16"/>
                <w:szCs w:val="16"/>
              </w:rPr>
              <w:t>Property</w:t>
            </w:r>
            <w:r>
              <w:rPr>
                <w:b/>
                <w:bCs/>
                <w:sz w:val="16"/>
                <w:szCs w:val="16"/>
              </w:rPr>
              <w:br/>
              <w:t> Type</w:t>
            </w:r>
            <w:r>
              <w:rPr>
                <w:b/>
                <w:bCs/>
                <w:sz w:val="16"/>
                <w:szCs w:val="16"/>
              </w:rPr>
              <w:br/>
              <w:t>(A</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Design</w:t>
            </w:r>
            <w:r>
              <w:rPr>
                <w:b/>
                <w:bCs/>
                <w:sz w:val="16"/>
                <w:szCs w:val="16"/>
              </w:rPr>
              <w:br/>
              <w:t>Capacit</w:t>
            </w:r>
            <w:r>
              <w:rPr>
                <w:b/>
                <w:bCs/>
                <w:sz w:val="16"/>
                <w:szCs w:val="16"/>
              </w:rPr>
              <w:t>y</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Square</w:t>
            </w:r>
            <w:r>
              <w:rPr>
                <w:b/>
                <w:bCs/>
                <w:sz w:val="16"/>
                <w:szCs w:val="16"/>
              </w:rPr>
              <w:br/>
              <w:t>Footag</w:t>
            </w:r>
            <w:r>
              <w:rPr>
                <w:b/>
                <w:bCs/>
                <w:sz w:val="16"/>
                <w:szCs w:val="16"/>
              </w:rPr>
              <w:t>e</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 xml:space="preserve">Lease </w:t>
            </w:r>
            <w:r>
              <w:rPr>
                <w:b/>
                <w:bCs/>
                <w:sz w:val="16"/>
                <w:szCs w:val="16"/>
              </w:rPr>
              <w:br/>
              <w:t>Expiratio</w:t>
            </w:r>
            <w:r>
              <w:rPr>
                <w:b/>
                <w:bCs/>
                <w:sz w:val="16"/>
                <w:szCs w:val="16"/>
              </w:rPr>
              <w:t>n</w:t>
            </w:r>
          </w:p>
        </w:tc>
        <w:tc>
          <w:tcPr>
            <w:tcW w:w="0" w:type="auto"/>
            <w:vAlign w:val="bottom"/>
            <w:hideMark/>
          </w:tcPr>
          <w:p w:rsidR="00000000" w:rsidRDefault="006D723D">
            <w:pPr>
              <w:pStyle w:val="a3"/>
              <w:spacing w:before="0" w:beforeAutospacing="0" w:after="0" w:afterAutospacing="0"/>
              <w:jc w:val="center"/>
              <w:rPr>
                <w:sz w:val="16"/>
                <w:szCs w:val="16"/>
              </w:rPr>
            </w:pPr>
            <w:r>
              <w:rPr>
                <w:b/>
                <w:bCs/>
                <w:sz w:val="16"/>
                <w:szCs w:val="16"/>
              </w:rPr>
              <w:t>Remaining</w:t>
            </w:r>
            <w:r>
              <w:rPr>
                <w:b/>
                <w:bCs/>
                <w:sz w:val="16"/>
                <w:szCs w:val="16"/>
              </w:rPr>
              <w:br/>
              <w:t>Renewal Options</w:t>
            </w:r>
            <w:r>
              <w:rPr>
                <w:b/>
                <w:bCs/>
                <w:sz w:val="16"/>
                <w:szCs w:val="16"/>
              </w:rPr>
              <w:br/>
              <w:t>(B</w:t>
            </w:r>
            <w:r>
              <w:rPr>
                <w:b/>
                <w:bCs/>
                <w:sz w:val="16"/>
                <w:szCs w:val="16"/>
              </w:rPr>
              <w:t>)</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xml:space="preserve">California City Correctional </w:t>
            </w:r>
            <w:r>
              <w:rPr>
                <w:sz w:val="18"/>
                <w:szCs w:val="18"/>
              </w:rPr>
              <w:br/>
              <w:t>   Center (C</w:t>
            </w:r>
            <w:r>
              <w:rPr>
                <w:sz w:val="18"/>
                <w:szCs w:val="18"/>
              </w:rPr>
              <w:t>)</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Californi</w:t>
            </w:r>
            <w:r>
              <w:rPr>
                <w:sz w:val="18"/>
                <w:szCs w:val="18"/>
              </w:rPr>
              <w:t>a</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2,56</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522,00</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Mar-2</w:t>
            </w:r>
            <w:r>
              <w:rPr>
                <w:sz w:val="18"/>
                <w:szCs w:val="18"/>
              </w:rPr>
              <w:t>4</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N</w:t>
            </w:r>
            <w:r>
              <w:rPr>
                <w:sz w:val="18"/>
                <w:szCs w:val="18"/>
              </w:rPr>
              <w:t>A</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California City, Californi</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Augusta Transitional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w:t>
            </w:r>
            <w:r>
              <w:rPr>
                <w:sz w:val="18"/>
                <w:szCs w:val="18"/>
              </w:rPr>
              <w:t>f</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w:t>
            </w:r>
            <w:r>
              <w:rPr>
                <w:sz w:val="18"/>
                <w:szCs w:val="18"/>
              </w:rPr>
              <w:t>C</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23</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29,00</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Jun-2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N</w:t>
            </w:r>
            <w:r>
              <w:rPr>
                <w:sz w:val="18"/>
                <w:szCs w:val="18"/>
              </w:rPr>
              <w:t>A</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Augusta, Georgi</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Georgi</w:t>
            </w:r>
            <w:r>
              <w:rPr>
                <w:sz w:val="18"/>
                <w:szCs w:val="18"/>
              </w:rPr>
              <w:t>a</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Lansing Correctional Facilit</w:t>
            </w:r>
            <w:r>
              <w:rPr>
                <w:sz w:val="18"/>
                <w:szCs w:val="18"/>
              </w:rPr>
              <w:t>y</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Kansa</w:t>
            </w:r>
            <w:r>
              <w:rPr>
                <w:sz w:val="18"/>
                <w:szCs w:val="18"/>
              </w:rPr>
              <w:t>s</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2,43</w:t>
            </w:r>
            <w:r>
              <w:rPr>
                <w:sz w:val="18"/>
                <w:szCs w:val="18"/>
              </w:rPr>
              <w:t>2</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401,00</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Jan-4</w:t>
            </w:r>
            <w:r>
              <w:rPr>
                <w:sz w:val="18"/>
                <w:szCs w:val="18"/>
              </w:rPr>
              <w:t>0</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N</w:t>
            </w:r>
            <w:r>
              <w:rPr>
                <w:sz w:val="18"/>
                <w:szCs w:val="18"/>
              </w:rPr>
              <w:t>A</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Lansing, Kansa</w:t>
            </w:r>
            <w:r>
              <w:rPr>
                <w:sz w:val="18"/>
                <w:szCs w:val="18"/>
              </w:rPr>
              <w:t>s</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xml:space="preserve">Southeast Correctional </w:t>
            </w:r>
            <w:r>
              <w:rPr>
                <w:sz w:val="18"/>
                <w:szCs w:val="18"/>
              </w:rPr>
              <w:br/>
              <w:t>  Complex (D</w:t>
            </w:r>
            <w:r>
              <w:rPr>
                <w:sz w:val="18"/>
                <w:szCs w:val="18"/>
              </w:rPr>
              <w:t>)</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Commonwealth o</w:t>
            </w:r>
            <w:r>
              <w:rPr>
                <w:sz w:val="18"/>
                <w:szCs w:val="18"/>
              </w:rPr>
              <w:t>f</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65</w:t>
            </w:r>
            <w:r>
              <w:rPr>
                <w:sz w:val="18"/>
                <w:szCs w:val="18"/>
              </w:rPr>
              <w:t>6</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127,00</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Jun-3</w:t>
            </w:r>
            <w:r>
              <w:rPr>
                <w:sz w:val="18"/>
                <w:szCs w:val="18"/>
              </w:rPr>
              <w:t>0</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(5) 2 yea</w:t>
            </w:r>
            <w:r>
              <w:rPr>
                <w:sz w:val="18"/>
                <w:szCs w:val="18"/>
              </w:rPr>
              <w:t>r</w:t>
            </w:r>
          </w:p>
        </w:tc>
      </w:tr>
      <w:tr w:rsidR="00000000">
        <w:trPr>
          <w:trHeight w:val="180"/>
          <w:tblCellSpacing w:w="15" w:type="dxa"/>
        </w:trPr>
        <w:tc>
          <w:tcPr>
            <w:tcW w:w="0" w:type="auto"/>
            <w:hideMark/>
          </w:tcPr>
          <w:p w:rsidR="00000000" w:rsidRDefault="006D723D">
            <w:pPr>
              <w:pStyle w:val="a3"/>
              <w:spacing w:before="0" w:beforeAutospacing="0" w:after="0" w:afterAutospacing="0"/>
              <w:rPr>
                <w:sz w:val="18"/>
                <w:szCs w:val="18"/>
              </w:rPr>
            </w:pPr>
            <w:r>
              <w:rPr>
                <w:sz w:val="18"/>
                <w:szCs w:val="18"/>
              </w:rPr>
              <w:t>Wheelwright, Kentuck</w:t>
            </w:r>
            <w:r>
              <w:rPr>
                <w:sz w:val="18"/>
                <w:szCs w:val="18"/>
              </w:rPr>
              <w:t>y</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hideMark/>
          </w:tcPr>
          <w:p w:rsidR="00000000" w:rsidRDefault="006D723D">
            <w:pPr>
              <w:pStyle w:val="a3"/>
              <w:spacing w:before="0" w:beforeAutospacing="0" w:after="0" w:afterAutospacing="0"/>
              <w:jc w:val="center"/>
              <w:rPr>
                <w:sz w:val="18"/>
                <w:szCs w:val="18"/>
              </w:rPr>
            </w:pPr>
            <w:r>
              <w:rPr>
                <w:sz w:val="18"/>
                <w:szCs w:val="18"/>
              </w:rPr>
              <w:t>Kentuck</w:t>
            </w:r>
            <w:r>
              <w:rPr>
                <w:sz w:val="18"/>
                <w:szCs w:val="18"/>
              </w:rPr>
              <w:t>y</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xml:space="preserve">Northwest New Mexico Correctional </w:t>
            </w:r>
            <w:r>
              <w:rPr>
                <w:sz w:val="18"/>
                <w:szCs w:val="18"/>
              </w:rPr>
              <w:br/>
              <w:t>   Cente</w:t>
            </w:r>
            <w:r>
              <w:rPr>
                <w:sz w:val="18"/>
                <w:szCs w:val="18"/>
              </w:rPr>
              <w:t>r</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New Mexic</w:t>
            </w:r>
            <w:r>
              <w:rPr>
                <w:sz w:val="18"/>
                <w:szCs w:val="18"/>
              </w:rPr>
              <w:t>o</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59</w:t>
            </w:r>
            <w:r>
              <w:rPr>
                <w:sz w:val="18"/>
                <w:szCs w:val="18"/>
              </w:rPr>
              <w:t>6</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188,00</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Oct-2</w:t>
            </w:r>
            <w:r>
              <w:rPr>
                <w:sz w:val="18"/>
                <w:szCs w:val="18"/>
              </w:rPr>
              <w:t>4</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(6) 3 yea</w:t>
            </w:r>
            <w:r>
              <w:rPr>
                <w:sz w:val="18"/>
                <w:szCs w:val="18"/>
              </w:rPr>
              <w:t>r</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Grants, New Mexic</w:t>
            </w:r>
            <w:r>
              <w:rPr>
                <w:sz w:val="18"/>
                <w:szCs w:val="18"/>
              </w:rPr>
              <w:t>o</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North Fork Correctional Facilit</w:t>
            </w:r>
            <w:r>
              <w:rPr>
                <w:sz w:val="18"/>
                <w:szCs w:val="18"/>
              </w:rPr>
              <w:t>y</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State of Oklahom</w:t>
            </w:r>
            <w:r>
              <w:rPr>
                <w:sz w:val="18"/>
                <w:szCs w:val="18"/>
              </w:rPr>
              <w:t>a</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2,40</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466,00</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Jul-2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Indefinit</w:t>
            </w:r>
            <w:r>
              <w:rPr>
                <w:sz w:val="18"/>
                <w:szCs w:val="18"/>
              </w:rPr>
              <w:t>e</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Sayre, Oklahom</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xml:space="preserve">Roth Hall Residential Reentry Center </w:t>
            </w:r>
            <w:r>
              <w:rPr>
                <w:sz w:val="18"/>
                <w:szCs w:val="18"/>
              </w:rPr>
              <w:t>*</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City of Philadelphia</w:t>
            </w:r>
            <w:r>
              <w:rPr>
                <w:sz w:val="18"/>
                <w:szCs w:val="18"/>
              </w:rPr>
              <w:t>,</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w:t>
            </w:r>
            <w:r>
              <w:rPr>
                <w:sz w:val="18"/>
                <w:szCs w:val="18"/>
              </w:rPr>
              <w:t>C</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13</w:t>
            </w:r>
            <w:r>
              <w:rPr>
                <w:sz w:val="18"/>
                <w:szCs w:val="18"/>
              </w:rPr>
              <w:t>6</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18,00</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Apr-2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N</w:t>
            </w:r>
            <w:r>
              <w:rPr>
                <w:sz w:val="18"/>
                <w:szCs w:val="18"/>
              </w:rPr>
              <w:t>A</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Philadelphia, Pennsylvani</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Pennsylvani</w:t>
            </w:r>
            <w:r>
              <w:rPr>
                <w:sz w:val="18"/>
                <w:szCs w:val="18"/>
              </w:rPr>
              <w:t>a</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xml:space="preserve">Walker Hall Residential Reentry </w:t>
            </w:r>
            <w:r>
              <w:rPr>
                <w:sz w:val="18"/>
                <w:szCs w:val="18"/>
              </w:rPr>
              <w:br/>
              <w:t xml:space="preserve">   Center </w:t>
            </w:r>
            <w:r>
              <w:rPr>
                <w:sz w:val="18"/>
                <w:szCs w:val="18"/>
              </w:rPr>
              <w:t>*</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City of Philadelphia</w:t>
            </w:r>
            <w:r>
              <w:rPr>
                <w:sz w:val="18"/>
                <w:szCs w:val="18"/>
              </w:rPr>
              <w:t>,</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C</w:t>
            </w:r>
            <w:r>
              <w:rPr>
                <w:sz w:val="18"/>
                <w:szCs w:val="18"/>
              </w:rPr>
              <w:t>C</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14</w:t>
            </w:r>
            <w:r>
              <w:rPr>
                <w:sz w:val="18"/>
                <w:szCs w:val="18"/>
              </w:rPr>
              <w:t>4</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18,00</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Apr-2</w:t>
            </w:r>
            <w:r>
              <w:rPr>
                <w:sz w:val="18"/>
                <w:szCs w:val="18"/>
              </w:rPr>
              <w:t>3</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N</w:t>
            </w:r>
            <w:r>
              <w:rPr>
                <w:sz w:val="18"/>
                <w:szCs w:val="18"/>
              </w:rPr>
              <w:t>A</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Philadelphia, Pennsylvani</w:t>
            </w:r>
            <w:r>
              <w:rPr>
                <w:sz w:val="18"/>
                <w:szCs w:val="18"/>
              </w:rPr>
              <w:t>a</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Pennsylvani</w:t>
            </w:r>
            <w:r>
              <w:rPr>
                <w:sz w:val="18"/>
                <w:szCs w:val="18"/>
              </w:rPr>
              <w:t>a</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1,769,00</w:t>
            </w:r>
            <w:r>
              <w:rPr>
                <w:sz w:val="18"/>
                <w:szCs w:val="18"/>
              </w:rPr>
              <w:t>0</w:t>
            </w:r>
          </w:p>
        </w:tc>
        <w:tc>
          <w:tcPr>
            <w:tcW w:w="0" w:type="auto"/>
            <w:noWrap/>
            <w:vAlign w:val="bottom"/>
            <w:hideMark/>
          </w:tcPr>
          <w:p w:rsidR="00000000" w:rsidRDefault="006D723D">
            <w:pPr>
              <w:pStyle w:val="a3"/>
              <w:spacing w:before="0" w:beforeAutospacing="0" w:after="0" w:afterAutospacing="0"/>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6D723D">
            <w:pPr>
              <w:pStyle w:val="a3"/>
              <w:spacing w:before="0" w:beforeAutospacing="0" w:after="0" w:afterAutospacing="0"/>
              <w:jc w:val="right"/>
              <w:rPr>
                <w:sz w:val="18"/>
                <w:szCs w:val="18"/>
              </w:rPr>
            </w:pPr>
            <w:r>
              <w:rPr>
                <w:sz w:val="18"/>
                <w:szCs w:val="18"/>
              </w:rPr>
              <w:t> </w:t>
            </w:r>
          </w:p>
        </w:tc>
      </w:tr>
    </w:tbl>
    <w:p w:rsidR="00000000" w:rsidRDefault="006D723D">
      <w:pPr>
        <w:pStyle w:val="a3"/>
        <w:spacing w:before="120" w:beforeAutospacing="0" w:after="0" w:afterAutospacing="0"/>
        <w:jc w:val="both"/>
        <w:rPr>
          <w:sz w:val="20"/>
          <w:szCs w:val="20"/>
        </w:rPr>
      </w:pPr>
      <w:r>
        <w:rPr>
          <w:sz w:val="20"/>
          <w:szCs w:val="20"/>
        </w:rPr>
        <w:t> </w:t>
      </w:r>
    </w:p>
    <w:p w:rsidR="00000000" w:rsidRDefault="006D723D">
      <w:pPr>
        <w:pStyle w:val="a3"/>
        <w:spacing w:before="120" w:beforeAutospacing="0" w:after="0" w:afterAutospacing="0"/>
        <w:jc w:val="both"/>
        <w:rPr>
          <w:sz w:val="20"/>
          <w:szCs w:val="20"/>
        </w:rPr>
      </w:pPr>
      <w:r>
        <w:rPr>
          <w:sz w:val="20"/>
          <w:szCs w:val="20"/>
        </w:rPr>
        <w:t>*Held for Sal</w:t>
      </w:r>
      <w:r>
        <w:rPr>
          <w:sz w:val="20"/>
          <w:szCs w:val="20"/>
        </w:rPr>
        <w:t>e</w:t>
      </w:r>
    </w:p>
    <w:p w:rsidR="00000000" w:rsidRDefault="006D723D">
      <w:pPr>
        <w:pStyle w:val="a3"/>
        <w:spacing w:before="120" w:beforeAutospacing="0" w:after="0" w:afterAutospacing="0"/>
        <w:jc w:val="both"/>
        <w:rPr>
          <w:sz w:val="20"/>
          <w:szCs w:val="20"/>
        </w:rPr>
      </w:pPr>
      <w:r>
        <w:rPr>
          <w:sz w:val="20"/>
          <w:szCs w:val="20"/>
        </w:rPr>
        <w:t> </w:t>
      </w:r>
    </w:p>
    <w:p w:rsidR="00000000" w:rsidRDefault="006D723D">
      <w:pPr>
        <w:jc w:val="both"/>
        <w:divId w:val="1022434523"/>
        <w:rPr>
          <w:rFonts w:eastAsia="Times New Roman"/>
        </w:rPr>
      </w:pPr>
      <w:r>
        <w:rPr>
          <w:rFonts w:eastAsia="Times New Roman"/>
          <w:sz w:val="20"/>
          <w:szCs w:val="20"/>
        </w:rPr>
        <w:t>(A</w:t>
      </w:r>
      <w:r>
        <w:rPr>
          <w:rFonts w:eastAsia="Times New Roman"/>
          <w:sz w:val="20"/>
          <w:szCs w:val="20"/>
        </w:rPr>
        <w:t>)</w:t>
      </w:r>
    </w:p>
    <w:p w:rsidR="00000000" w:rsidRDefault="006D723D">
      <w:pPr>
        <w:jc w:val="both"/>
        <w:divId w:val="458452164"/>
        <w:rPr>
          <w:rFonts w:eastAsia="Times New Roman"/>
        </w:rPr>
      </w:pPr>
      <w:r>
        <w:rPr>
          <w:rFonts w:eastAsia="Times New Roman"/>
          <w:sz w:val="20"/>
          <w:szCs w:val="20"/>
        </w:rPr>
        <w:t>C=Correctional; CC=Community Corrections</w:t>
      </w:r>
      <w:r>
        <w:rPr>
          <w:rFonts w:eastAsia="Times New Roman"/>
          <w:sz w:val="20"/>
          <w:szCs w:val="20"/>
        </w:rPr>
        <w:t>.</w:t>
      </w:r>
    </w:p>
    <w:p w:rsidR="00000000" w:rsidRDefault="006D723D">
      <w:pPr>
        <w:jc w:val="both"/>
        <w:divId w:val="1825462474"/>
        <w:rPr>
          <w:rFonts w:eastAsia="Times New Roman"/>
        </w:rPr>
      </w:pPr>
      <w:r>
        <w:rPr>
          <w:rFonts w:eastAsia="Times New Roman"/>
          <w:sz w:val="20"/>
          <w:szCs w:val="20"/>
        </w:rPr>
        <w:t>(B</w:t>
      </w:r>
      <w:r>
        <w:rPr>
          <w:rFonts w:eastAsia="Times New Roman"/>
          <w:sz w:val="20"/>
          <w:szCs w:val="20"/>
        </w:rPr>
        <w:t>)</w:t>
      </w:r>
    </w:p>
    <w:p w:rsidR="00000000" w:rsidRDefault="006D723D">
      <w:pPr>
        <w:jc w:val="both"/>
        <w:divId w:val="86391785"/>
        <w:rPr>
          <w:rFonts w:eastAsia="Times New Roman"/>
        </w:rPr>
      </w:pPr>
      <w:r>
        <w:rPr>
          <w:rFonts w:eastAsia="Times New Roman"/>
          <w:sz w:val="20"/>
          <w:szCs w:val="20"/>
        </w:rPr>
        <w:t>Remaining renewal options represents the number of renewal options, if applicable, and the term of each option renewal</w:t>
      </w:r>
      <w:r>
        <w:rPr>
          <w:rFonts w:eastAsia="Times New Roman"/>
          <w:sz w:val="20"/>
          <w:szCs w:val="20"/>
        </w:rPr>
        <w:t>.</w:t>
      </w:r>
    </w:p>
    <w:p w:rsidR="00000000" w:rsidRDefault="006D723D">
      <w:pPr>
        <w:jc w:val="both"/>
        <w:divId w:val="629747264"/>
        <w:rPr>
          <w:rFonts w:eastAsia="Times New Roman"/>
        </w:rPr>
      </w:pPr>
      <w:r>
        <w:rPr>
          <w:rFonts w:eastAsia="Times New Roman"/>
          <w:sz w:val="20"/>
          <w:szCs w:val="20"/>
        </w:rPr>
        <w:t>(C</w:t>
      </w:r>
      <w:r>
        <w:rPr>
          <w:rFonts w:eastAsia="Times New Roman"/>
          <w:sz w:val="20"/>
          <w:szCs w:val="20"/>
        </w:rPr>
        <w:t>)</w:t>
      </w:r>
    </w:p>
    <w:p w:rsidR="00000000" w:rsidRDefault="006D723D">
      <w:pPr>
        <w:jc w:val="both"/>
        <w:divId w:val="1437367012"/>
        <w:rPr>
          <w:rFonts w:eastAsia="Times New Roman"/>
        </w:rPr>
      </w:pPr>
      <w:r>
        <w:rPr>
          <w:rFonts w:eastAsia="Times New Roman"/>
          <w:sz w:val="20"/>
          <w:szCs w:val="20"/>
        </w:rPr>
        <w:t>On December 6, 2022, we received notice from the California Depar</w:t>
      </w:r>
      <w:r>
        <w:rPr>
          <w:rFonts w:eastAsia="Times New Roman"/>
          <w:sz w:val="20"/>
          <w:szCs w:val="20"/>
        </w:rPr>
        <w:t>tment of Corrections and Rehabilitation, or CDCR, of its intent to terminate the lease agreement for the facility by March 31, 2024, due to the state's declining inmate population.</w:t>
      </w:r>
      <w:r>
        <w:rPr>
          <w:rFonts w:eastAsia="Times New Roman"/>
          <w:sz w:val="20"/>
          <w:szCs w:val="20"/>
        </w:rPr>
        <w:t xml:space="preserve"> </w:t>
      </w:r>
    </w:p>
    <w:p w:rsidR="00000000" w:rsidRDefault="006D723D">
      <w:pPr>
        <w:jc w:val="both"/>
        <w:divId w:val="1199781619"/>
        <w:rPr>
          <w:rFonts w:eastAsia="Times New Roman"/>
        </w:rPr>
      </w:pPr>
      <w:r>
        <w:rPr>
          <w:rFonts w:eastAsia="Times New Roman"/>
          <w:sz w:val="20"/>
          <w:szCs w:val="20"/>
        </w:rPr>
        <w:t>(D</w:t>
      </w:r>
      <w:r>
        <w:rPr>
          <w:rFonts w:eastAsia="Times New Roman"/>
          <w:sz w:val="20"/>
          <w:szCs w:val="20"/>
        </w:rPr>
        <w:t>)</w:t>
      </w:r>
    </w:p>
    <w:p w:rsidR="00000000" w:rsidRDefault="006D723D">
      <w:pPr>
        <w:jc w:val="both"/>
        <w:divId w:val="1810591590"/>
        <w:rPr>
          <w:rFonts w:eastAsia="Times New Roman"/>
        </w:rPr>
      </w:pPr>
      <w:r>
        <w:rPr>
          <w:rFonts w:eastAsia="Times New Roman"/>
          <w:sz w:val="20"/>
          <w:szCs w:val="20"/>
        </w:rPr>
        <w:t>The KYDOC has an option to purchase the facility at any time during th</w:t>
      </w:r>
      <w:r>
        <w:rPr>
          <w:rFonts w:eastAsia="Times New Roman"/>
          <w:sz w:val="20"/>
          <w:szCs w:val="20"/>
        </w:rPr>
        <w:t>e term of the lease with us at a price equal to the fair market value of the property.</w:t>
      </w:r>
      <w:r>
        <w:rPr>
          <w:rFonts w:eastAsia="Times New Roman"/>
          <w:sz w:val="20"/>
          <w:szCs w:val="20"/>
        </w:rPr>
        <w:t xml:space="preserve"> </w: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center"/>
        <w:rPr>
          <w:sz w:val="20"/>
          <w:szCs w:val="20"/>
        </w:rPr>
      </w:pPr>
      <w:r>
        <w:rPr>
          <w:sz w:val="20"/>
          <w:szCs w:val="20"/>
        </w:rPr>
        <w:t>2</w:t>
      </w:r>
      <w:r>
        <w:rPr>
          <w:sz w:val="20"/>
          <w:szCs w:val="20"/>
        </w:rPr>
        <w:t>8</w:t>
      </w:r>
    </w:p>
    <w:p w:rsidR="00000000" w:rsidRDefault="006D723D">
      <w:pPr>
        <w:rPr>
          <w:rFonts w:eastAsia="Times New Roman"/>
        </w:rPr>
      </w:pPr>
      <w:r>
        <w:rPr>
          <w:rFonts w:eastAsia="Times New Roman"/>
        </w:rPr>
        <w:pict>
          <v:rect id="_x0000_i1052"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rPr>
          <w:sz w:val="20"/>
          <w:szCs w:val="20"/>
        </w:rPr>
      </w:pPr>
      <w:r>
        <w:rPr>
          <w:b/>
          <w:bCs/>
          <w:sz w:val="20"/>
          <w:szCs w:val="20"/>
        </w:rPr>
        <w:t>Competitiv</w:t>
      </w:r>
      <w:r>
        <w:rPr>
          <w:b/>
          <w:bCs/>
          <w:sz w:val="20"/>
          <w:szCs w:val="20"/>
        </w:rPr>
        <w:t>e</w:t>
      </w:r>
      <w:r>
        <w:rPr>
          <w:b/>
          <w:bCs/>
          <w:sz w:val="20"/>
          <w:szCs w:val="20"/>
        </w:rPr>
        <w:t xml:space="preserve"> Strength</w:t>
      </w:r>
      <w:r>
        <w:rPr>
          <w:b/>
          <w:bCs/>
          <w:sz w:val="20"/>
          <w:szCs w:val="20"/>
        </w:rPr>
        <w:t>s</w:t>
      </w:r>
    </w:p>
    <w:p w:rsidR="00000000" w:rsidRDefault="006D723D">
      <w:pPr>
        <w:pStyle w:val="a3"/>
        <w:spacing w:before="120" w:beforeAutospacing="0" w:after="0" w:afterAutospacing="0"/>
        <w:jc w:val="both"/>
        <w:rPr>
          <w:sz w:val="20"/>
          <w:szCs w:val="20"/>
        </w:rPr>
      </w:pPr>
      <w:r>
        <w:rPr>
          <w:sz w:val="20"/>
          <w:szCs w:val="20"/>
        </w:rPr>
        <w:t>Through our three segments, CoreCivic Safety, CoreCivic Community, and CoreCivic Properties, we offer multiple solutions to unique challenges, allowing government organizations to address their various needs while customizing the solution based on their un</w:t>
      </w:r>
      <w:r>
        <w:rPr>
          <w:sz w:val="20"/>
          <w:szCs w:val="20"/>
        </w:rPr>
        <w:t>ique circumstances. Accordingly, we believe that we benefit from the following competitive strengths</w:t>
      </w:r>
      <w:r>
        <w:rPr>
          <w:sz w:val="20"/>
          <w:szCs w:val="20"/>
        </w:rPr>
        <w:t>:</w:t>
      </w:r>
    </w:p>
    <w:p w:rsidR="00000000" w:rsidRDefault="006D723D">
      <w:pPr>
        <w:pStyle w:val="a3"/>
        <w:spacing w:before="240" w:beforeAutospacing="0" w:after="0" w:afterAutospacing="0"/>
        <w:jc w:val="both"/>
        <w:rPr>
          <w:sz w:val="20"/>
          <w:szCs w:val="20"/>
        </w:rPr>
      </w:pPr>
      <w:r>
        <w:rPr>
          <w:i/>
          <w:iCs/>
          <w:sz w:val="20"/>
          <w:szCs w:val="20"/>
        </w:rPr>
        <w:t>Largest Private Owner of Correctional and Detention Facilities</w:t>
      </w:r>
      <w:r>
        <w:rPr>
          <w:i/>
          <w:iCs/>
          <w:sz w:val="20"/>
          <w:szCs w:val="20"/>
        </w:rPr>
        <w:t>.</w:t>
      </w:r>
      <w:r>
        <w:rPr>
          <w:sz w:val="20"/>
          <w:szCs w:val="20"/>
        </w:rPr>
        <w:t xml:space="preserve"> As of December 31, 2022, we owned, or controlled via a long-term lease, approximately 14.6</w:t>
      </w:r>
      <w:r>
        <w:rPr>
          <w:sz w:val="20"/>
          <w:szCs w:val="20"/>
        </w:rPr>
        <w:t xml:space="preserve"> million square feet of real estate, all used directly or indirectly by government agencies. Our complementary set of business assets provide critical infrastructure and services under contracts with federal, state, and local government agencies that gener</w:t>
      </w:r>
      <w:r>
        <w:rPr>
          <w:sz w:val="20"/>
          <w:szCs w:val="20"/>
        </w:rPr>
        <w:t>ally have credit ratings of single-A or better, which also contributes to our steady, predictable cash flows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In our CoreCivic Safety segment, we own, or control via a long-term lease, 12.3 million square feet of real estate used to provide innovative, co</w:t>
      </w:r>
      <w:r>
        <w:rPr>
          <w:sz w:val="20"/>
          <w:szCs w:val="20"/>
        </w:rPr>
        <w:t xml:space="preserve">mprehensive, flexible, turn-key correctional and detention services to federal, state and local government agencies. As of December 31, 2022, our CoreCivic Safety segment operated 44 facilities, 40 of which we owned, with a total design capacity of 66,399 </w:t>
      </w:r>
      <w:r>
        <w:rPr>
          <w:sz w:val="20"/>
          <w:szCs w:val="20"/>
        </w:rPr>
        <w:t xml:space="preserve">beds, making us the nation's largest private prison owner and one of the largest prison operators in the United States. Eight facilities in our Safety segment, containing 8,699 beds, are currently idle and available for growth opportunities. Our CoreCivic </w:t>
      </w:r>
      <w:r>
        <w:rPr>
          <w:sz w:val="20"/>
          <w:szCs w:val="20"/>
        </w:rPr>
        <w:t>Safety segment generated 84.1% of our total segment net operating income during 2022</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In our CoreCivic Community segment, we own, or control via a long-term lease, 0.5 million square feet of real estate representing, as of December 31, 2022, 23 residentia</w:t>
      </w:r>
      <w:r>
        <w:rPr>
          <w:sz w:val="20"/>
          <w:szCs w:val="20"/>
        </w:rPr>
        <w:t>l reentry centers with a design capacity of 4,669 beds, making us the second largest community corrections owner and operator in the United States. Two of our residential reentry centers, containing 450 beds, were idle as of December 31, 2022, one of which</w:t>
      </w:r>
      <w:r>
        <w:rPr>
          <w:sz w:val="20"/>
          <w:szCs w:val="20"/>
        </w:rPr>
        <w:t xml:space="preserve"> was classified as held for sale. Our CoreCivic Community segment generated 3.9% of our total segment net operating income during 2022</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In our CoreCivic Properties segment, as of December 31, 2022, we owned 1.8 million square feet of real estate represent</w:t>
      </w:r>
      <w:r>
        <w:rPr>
          <w:sz w:val="20"/>
          <w:szCs w:val="20"/>
        </w:rPr>
        <w:t>ing 8 properties that are leased to government agencies. Our CoreCivic Properties segment generated 12.0% of our total segment net operating income during 2022</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We believe our synergistic set of business segments, combined with our operating strategies, c</w:t>
      </w:r>
      <w:r>
        <w:rPr>
          <w:sz w:val="20"/>
          <w:szCs w:val="20"/>
        </w:rPr>
        <w:t>orrections-industry commitment to rehabilitation, extensive government relationships, and deep real estate expertise, provide us with a diversified platform for stable cash flows and sustainable growth, with multiple paths for organic expansions and acquis</w:t>
      </w:r>
      <w:r>
        <w:rPr>
          <w:sz w:val="20"/>
          <w:szCs w:val="20"/>
        </w:rPr>
        <w:t>itions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i/>
          <w:iCs/>
          <w:sz w:val="20"/>
          <w:szCs w:val="20"/>
        </w:rPr>
        <w:t>Pioneered Modern-Day Private Prisons</w:t>
      </w:r>
      <w:r>
        <w:rPr>
          <w:i/>
          <w:iCs/>
          <w:sz w:val="20"/>
          <w:szCs w:val="20"/>
        </w:rPr>
        <w:t>.</w:t>
      </w:r>
      <w:r>
        <w:rPr>
          <w:sz w:val="20"/>
          <w:szCs w:val="20"/>
        </w:rPr>
        <w:t xml:space="preserve"> Through our CoreCivic Safety segment, we are the nation's largest private prison owner and one of the largest prison operators in the United States, which provides us significant credibility with our current a</w:t>
      </w:r>
      <w:r>
        <w:rPr>
          <w:sz w:val="20"/>
          <w:szCs w:val="20"/>
        </w:rPr>
        <w:t xml:space="preserve">nd prospective clients. We believe we own, or control via a long-term lease, approximately 56% of all privately owned prison beds in the United States and manage nearly 38% of all privately managed prison beds in the United States. We pioneered modern-day </w:t>
      </w:r>
      <w:r>
        <w:rPr>
          <w:sz w:val="20"/>
          <w:szCs w:val="20"/>
        </w:rPr>
        <w:t>private prisons with a list of notable accomplishments, such as</w:t>
      </w:r>
      <w:r>
        <w:rPr>
          <w:sz w:val="20"/>
          <w:szCs w:val="20"/>
        </w:rPr>
        <w:t>:</w:t>
      </w:r>
      <w:r>
        <w:rPr>
          <w:sz w:val="20"/>
          <w:szCs w:val="20"/>
        </w:rPr>
        <w:t xml:space="preserve"> </w:t>
      </w:r>
    </w:p>
    <w:p w:rsidR="00000000" w:rsidRDefault="006D723D">
      <w:pPr>
        <w:jc w:val="both"/>
        <w:divId w:val="1352997466"/>
        <w:rPr>
          <w:rFonts w:eastAsia="Times New Roman"/>
        </w:rPr>
      </w:pPr>
      <w:r>
        <w:rPr>
          <w:rFonts w:eastAsia="Times New Roman"/>
          <w:sz w:val="20"/>
          <w:szCs w:val="20"/>
        </w:rPr>
        <w:t>•</w:t>
      </w:r>
    </w:p>
    <w:p w:rsidR="00000000" w:rsidRDefault="006D723D">
      <w:pPr>
        <w:jc w:val="both"/>
        <w:divId w:val="466819292"/>
        <w:rPr>
          <w:rFonts w:eastAsia="Times New Roman"/>
        </w:rPr>
      </w:pPr>
      <w:r>
        <w:rPr>
          <w:rFonts w:eastAsia="Times New Roman"/>
          <w:sz w:val="20"/>
          <w:szCs w:val="20"/>
        </w:rPr>
        <w:t>the first company to design, build, and operate a private prison;</w:t>
      </w:r>
      <w:r>
        <w:rPr>
          <w:rFonts w:eastAsia="Times New Roman"/>
          <w:sz w:val="20"/>
          <w:szCs w:val="20"/>
        </w:rPr>
        <w:t xml:space="preserve"> </w:t>
      </w:r>
    </w:p>
    <w:p w:rsidR="00000000" w:rsidRDefault="006D723D">
      <w:pPr>
        <w:jc w:val="both"/>
        <w:divId w:val="1858811198"/>
        <w:rPr>
          <w:rFonts w:eastAsia="Times New Roman"/>
        </w:rPr>
      </w:pPr>
      <w:r>
        <w:rPr>
          <w:rFonts w:eastAsia="Times New Roman"/>
          <w:sz w:val="20"/>
          <w:szCs w:val="20"/>
        </w:rPr>
        <w:t>•</w:t>
      </w:r>
    </w:p>
    <w:p w:rsidR="00000000" w:rsidRDefault="006D723D">
      <w:pPr>
        <w:jc w:val="both"/>
        <w:divId w:val="1951886910"/>
        <w:rPr>
          <w:rFonts w:eastAsia="Times New Roman"/>
        </w:rPr>
      </w:pPr>
      <w:r>
        <w:rPr>
          <w:rFonts w:eastAsia="Times New Roman"/>
          <w:sz w:val="20"/>
          <w:szCs w:val="20"/>
        </w:rPr>
        <w:t>the first company to manage a private maximum-security facility under a direct contract with the federal government;</w:t>
      </w:r>
      <w:r>
        <w:rPr>
          <w:rFonts w:eastAsia="Times New Roman"/>
          <w:sz w:val="20"/>
          <w:szCs w:val="20"/>
        </w:rPr>
        <w:t xml:space="preserve"> </w:t>
      </w:r>
    </w:p>
    <w:p w:rsidR="00000000" w:rsidRDefault="006D723D">
      <w:pPr>
        <w:jc w:val="both"/>
        <w:divId w:val="1382166123"/>
        <w:rPr>
          <w:rFonts w:eastAsia="Times New Roman"/>
        </w:rPr>
      </w:pPr>
      <w:r>
        <w:rPr>
          <w:rFonts w:eastAsia="Times New Roman"/>
          <w:sz w:val="20"/>
          <w:szCs w:val="20"/>
        </w:rPr>
        <w:t>•</w:t>
      </w:r>
    </w:p>
    <w:p w:rsidR="00000000" w:rsidRDefault="006D723D">
      <w:pPr>
        <w:jc w:val="both"/>
        <w:divId w:val="599988378"/>
        <w:rPr>
          <w:rFonts w:eastAsia="Times New Roman"/>
        </w:rPr>
      </w:pPr>
      <w:r>
        <w:rPr>
          <w:rFonts w:eastAsia="Times New Roman"/>
          <w:sz w:val="20"/>
          <w:szCs w:val="20"/>
        </w:rPr>
        <w:t>the first company to purchase a government-owned correctional facility from a government agency in the United States and to manage the facility for the government agency</w:t>
      </w:r>
      <w:r>
        <w:rPr>
          <w:rFonts w:eastAsia="Times New Roman"/>
          <w:sz w:val="20"/>
          <w:szCs w:val="20"/>
        </w:rPr>
        <w:t>;</w:t>
      </w:r>
    </w:p>
    <w:p w:rsidR="00000000" w:rsidRDefault="006D723D">
      <w:pPr>
        <w:jc w:val="both"/>
        <w:divId w:val="262568705"/>
        <w:rPr>
          <w:rFonts w:eastAsia="Times New Roman"/>
        </w:rPr>
      </w:pPr>
      <w:r>
        <w:rPr>
          <w:rFonts w:eastAsia="Times New Roman"/>
          <w:sz w:val="20"/>
          <w:szCs w:val="20"/>
        </w:rPr>
        <w:t>•</w:t>
      </w:r>
    </w:p>
    <w:p w:rsidR="00000000" w:rsidRDefault="006D723D">
      <w:pPr>
        <w:jc w:val="both"/>
        <w:divId w:val="1528519927"/>
        <w:rPr>
          <w:rFonts w:eastAsia="Times New Roman"/>
        </w:rPr>
      </w:pPr>
      <w:r>
        <w:rPr>
          <w:rFonts w:eastAsia="Times New Roman"/>
          <w:sz w:val="20"/>
          <w:szCs w:val="20"/>
        </w:rPr>
        <w:t>the first company to lease a private prison to a state government; and</w:t>
      </w:r>
      <w:r>
        <w:rPr>
          <w:rFonts w:eastAsia="Times New Roman"/>
          <w:sz w:val="20"/>
          <w:szCs w:val="20"/>
        </w:rPr>
        <w:t xml:space="preserve"> </w:t>
      </w:r>
    </w:p>
    <w:p w:rsidR="00000000" w:rsidRDefault="006D723D">
      <w:pPr>
        <w:jc w:val="both"/>
        <w:divId w:val="1406299977"/>
        <w:rPr>
          <w:rFonts w:eastAsia="Times New Roman"/>
        </w:rPr>
      </w:pPr>
      <w:r>
        <w:rPr>
          <w:rFonts w:eastAsia="Times New Roman"/>
          <w:sz w:val="20"/>
          <w:szCs w:val="20"/>
        </w:rPr>
        <w:t>•</w:t>
      </w:r>
    </w:p>
    <w:p w:rsidR="00000000" w:rsidRDefault="006D723D">
      <w:pPr>
        <w:jc w:val="both"/>
        <w:divId w:val="30424521"/>
        <w:rPr>
          <w:rFonts w:eastAsia="Times New Roman"/>
        </w:rPr>
      </w:pPr>
      <w:r>
        <w:rPr>
          <w:rFonts w:eastAsia="Times New Roman"/>
          <w:sz w:val="20"/>
          <w:szCs w:val="20"/>
        </w:rPr>
        <w:t>the firs</w:t>
      </w:r>
      <w:r>
        <w:rPr>
          <w:rFonts w:eastAsia="Times New Roman"/>
          <w:sz w:val="20"/>
          <w:szCs w:val="20"/>
        </w:rPr>
        <w:t>t company to develop a privately-owned, build-to-suit correctional facility to be operated by a government agency through a long-term lease agreement.</w:t>
      </w:r>
      <w:r>
        <w:rPr>
          <w:rFonts w:eastAsia="Times New Roman"/>
          <w:sz w:val="20"/>
          <w:szCs w:val="20"/>
        </w:rPr>
        <w:t xml:space="preserve"> </w:t>
      </w:r>
    </w:p>
    <w:p w:rsidR="00000000" w:rsidRDefault="006D723D">
      <w:pPr>
        <w:pStyle w:val="a3"/>
        <w:spacing w:before="240" w:beforeAutospacing="0" w:after="0" w:afterAutospacing="0"/>
        <w:jc w:val="center"/>
        <w:rPr>
          <w:sz w:val="20"/>
          <w:szCs w:val="20"/>
        </w:rPr>
      </w:pPr>
      <w:r>
        <w:rPr>
          <w:sz w:val="20"/>
          <w:szCs w:val="20"/>
        </w:rPr>
        <w:t>2</w:t>
      </w:r>
      <w:r>
        <w:rPr>
          <w:sz w:val="20"/>
          <w:szCs w:val="20"/>
        </w:rPr>
        <w:t>9</w:t>
      </w:r>
    </w:p>
    <w:p w:rsidR="00000000" w:rsidRDefault="006D723D">
      <w:pPr>
        <w:rPr>
          <w:rFonts w:eastAsia="Times New Roman"/>
        </w:rPr>
      </w:pPr>
      <w:r>
        <w:rPr>
          <w:rFonts w:eastAsia="Times New Roman"/>
        </w:rPr>
        <w:pict>
          <v:rect id="_x0000_i1053"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In addition to providing us with extensive experience and inst</w:t>
      </w:r>
      <w:r>
        <w:rPr>
          <w:sz w:val="20"/>
          <w:szCs w:val="20"/>
        </w:rPr>
        <w:t>itutional knowledge, our size also helps us deliver value to our customers by providing purchasing power and allowing us to achieve certain economies of scale</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i/>
          <w:iCs/>
          <w:sz w:val="20"/>
          <w:szCs w:val="20"/>
        </w:rPr>
        <w:t>Available Beds within Our Existing Facilities.</w:t>
      </w:r>
      <w:r>
        <w:rPr>
          <w:i/>
          <w:iCs/>
          <w:sz w:val="20"/>
          <w:szCs w:val="20"/>
        </w:rPr>
        <w:t xml:space="preserve"> </w:t>
      </w:r>
      <w:r>
        <w:rPr>
          <w:sz w:val="20"/>
          <w:szCs w:val="20"/>
        </w:rPr>
        <w:t>We currently have 8,459 beds at seven prison facilities that are vacant and immediately available to use. We are actively engaged in marketing this available capacity as solutions to meet the needs of potential customers. Historically, we have been success</w:t>
      </w:r>
      <w:r>
        <w:rPr>
          <w:sz w:val="20"/>
          <w:szCs w:val="20"/>
        </w:rPr>
        <w:t>ful in identifying opportunities to utilize our inventory of available beds. For example, in the third quarter of 2020, we entered into a new contract under an inter-governmental service agreement, or IGSA, between the city of Cushing, Oklahoma and the USM</w:t>
      </w:r>
      <w:r>
        <w:rPr>
          <w:sz w:val="20"/>
          <w:szCs w:val="20"/>
        </w:rPr>
        <w:t>S, to utilize our 1,600-bed Cimarron Correctional Facility in Oklahoma. We had previously announced our intention to idle the Cimarron facility during the third quarter of 2020, predominantly due to a lower number of inmate populations from the state of Ok</w:t>
      </w:r>
      <w:r>
        <w:rPr>
          <w:sz w:val="20"/>
          <w:szCs w:val="20"/>
        </w:rPr>
        <w:t>lahoma resulting from COVID-19, combined with the consequential impact of COVID-19 on the state of Oklahoma's budget. The new management contract commenced on September 15, 2020</w:t>
      </w:r>
      <w:r>
        <w:rPr>
          <w:sz w:val="20"/>
          <w:szCs w:val="20"/>
        </w:rPr>
        <w:t>.</w:t>
      </w:r>
      <w:r>
        <w:rPr>
          <w:sz w:val="20"/>
          <w:szCs w:val="20"/>
        </w:rPr>
        <w:t xml:space="preserve"> </w:t>
      </w:r>
    </w:p>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0" w:beforeAutospacing="0" w:after="0" w:afterAutospacing="0"/>
        <w:jc w:val="both"/>
        <w:rPr>
          <w:sz w:val="20"/>
          <w:szCs w:val="20"/>
        </w:rPr>
      </w:pPr>
      <w:r>
        <w:rPr>
          <w:sz w:val="20"/>
          <w:szCs w:val="20"/>
        </w:rPr>
        <w:t>Available bed capacity can also be used for emergent needs. For example, d</w:t>
      </w:r>
      <w:r>
        <w:rPr>
          <w:sz w:val="20"/>
          <w:szCs w:val="20"/>
        </w:rPr>
        <w:t>uring January 2020, we entered into an emergency ninety-day contract with the state of Mississippi to care for up to 375 inmates at our Tallahatchie County Correctional Facility, as the state of Mississippi was experiencing significant challenges in its co</w:t>
      </w:r>
      <w:r>
        <w:rPr>
          <w:sz w:val="20"/>
          <w:szCs w:val="20"/>
        </w:rPr>
        <w:t>rrectional system. The state of Mississippi subsequently expanded the contract to 1,000 inmates during the second quarter of 2020, and extended the contract through April 2021, but no longer needed the capacity and transferred the inmates back to the State</w:t>
      </w:r>
      <w:r>
        <w:rPr>
          <w:sz w:val="20"/>
          <w:szCs w:val="20"/>
        </w:rPr>
        <w:t xml:space="preserve"> during the first quarter of 2021. This emergency contract exemplifies how critically important it is for state and federal partners to have access to our real estate assets and associated service offerings to meet their unexpected needs. Our Tallahatchie </w:t>
      </w:r>
      <w:r>
        <w:rPr>
          <w:sz w:val="20"/>
          <w:szCs w:val="20"/>
        </w:rPr>
        <w:t>facility provided immediate capacity for the state of Mississippi to move a portion of its close-custody inmate population, which we believe quickly improved the safety and security of the inmates and of the state of Mississippi's correctional system</w:t>
      </w:r>
      <w:r>
        <w:rPr>
          <w:sz w:val="20"/>
          <w:szCs w:val="20"/>
        </w:rPr>
        <w:t>.</w:t>
      </w:r>
    </w:p>
    <w:p w:rsidR="00000000" w:rsidRDefault="006D723D">
      <w:pPr>
        <w:pStyle w:val="a3"/>
        <w:spacing w:before="240" w:beforeAutospacing="0" w:after="0" w:afterAutospacing="0"/>
        <w:jc w:val="both"/>
        <w:rPr>
          <w:sz w:val="20"/>
          <w:szCs w:val="20"/>
        </w:rPr>
      </w:pPr>
      <w:r>
        <w:rPr>
          <w:i/>
          <w:iCs/>
          <w:sz w:val="20"/>
          <w:szCs w:val="20"/>
        </w:rPr>
        <w:t>Well</w:t>
      </w:r>
      <w:r>
        <w:rPr>
          <w:i/>
          <w:iCs/>
          <w:sz w:val="20"/>
          <w:szCs w:val="20"/>
        </w:rPr>
        <w:t>-Established Community Corrections Platform.</w:t>
      </w:r>
      <w:r>
        <w:rPr>
          <w:i/>
          <w:iCs/>
          <w:sz w:val="20"/>
          <w:szCs w:val="20"/>
        </w:rPr>
        <w:t xml:space="preserve"> </w:t>
      </w:r>
      <w:r>
        <w:rPr>
          <w:sz w:val="20"/>
          <w:szCs w:val="20"/>
        </w:rPr>
        <w:t>Through our CoreCivic Community segment, as of December 31, 2022, we had a network of 23 residential reentry centers containing a total of 4,669 beds. We offer housing and programs, with a key focus on employmen</w:t>
      </w:r>
      <w:r>
        <w:rPr>
          <w:sz w:val="20"/>
          <w:szCs w:val="20"/>
        </w:rPr>
        <w:t>t, job readiness and life skills in order to help offenders successfully re-enter the community and reduce the risk of recidivism. We also provide non-residential correctional alternatives, including electronic monitoring and case management services, to m</w:t>
      </w:r>
      <w:r>
        <w:rPr>
          <w:sz w:val="20"/>
          <w:szCs w:val="20"/>
        </w:rPr>
        <w:t>unicipal, county and state governments in multiple states. We expect to continue to pursue opportunities that expand the scope of non-residential correctional alternative solutions available to government agencies</w:t>
      </w:r>
      <w:r>
        <w:rPr>
          <w:sz w:val="20"/>
          <w:szCs w:val="20"/>
        </w:rPr>
        <w:t>.</w:t>
      </w:r>
    </w:p>
    <w:p w:rsidR="00000000" w:rsidRDefault="006D723D">
      <w:pPr>
        <w:pStyle w:val="a3"/>
        <w:spacing w:before="240" w:beforeAutospacing="0" w:after="0" w:afterAutospacing="0"/>
        <w:jc w:val="both"/>
        <w:rPr>
          <w:sz w:val="20"/>
          <w:szCs w:val="20"/>
        </w:rPr>
      </w:pPr>
      <w:r>
        <w:rPr>
          <w:sz w:val="20"/>
          <w:szCs w:val="20"/>
        </w:rPr>
        <w:t>We are the second largest community corre</w:t>
      </w:r>
      <w:r>
        <w:rPr>
          <w:sz w:val="20"/>
          <w:szCs w:val="20"/>
        </w:rPr>
        <w:t>ctions owner and operator in the United States. COVID-19 notwithstanding, we believe the demand for the housing and programs that community corrections facilities offer will grow as offenders are released from prison and due to an increased awareness of th</w:t>
      </w:r>
      <w:r>
        <w:rPr>
          <w:sz w:val="20"/>
          <w:szCs w:val="20"/>
        </w:rPr>
        <w:t>e important role these programs play in an offender's successful transition from prison to society. We expect to continue to pursue opportunities to provide these services to parolees, defendants, and offenders who are serving their full sentence, the last</w:t>
      </w:r>
      <w:r>
        <w:rPr>
          <w:sz w:val="20"/>
          <w:szCs w:val="20"/>
        </w:rPr>
        <w:t xml:space="preserve"> portion of their sentence, waiting to be sentenced, awaiting trial while supervised in a community environment, or as an alternative to incarceration. We believe we have the opportunity to maximize utilization of available beds within our community correc</w:t>
      </w:r>
      <w:r>
        <w:rPr>
          <w:sz w:val="20"/>
          <w:szCs w:val="20"/>
        </w:rPr>
        <w:t>tions portfolio that would further increase the number of individuals benefiting from the services we provide in such facilities. For example, in the first quarter of 2021, we activated a new contract with the BOP for residential reentry and home confineme</w:t>
      </w:r>
      <w:r>
        <w:rPr>
          <w:sz w:val="20"/>
          <w:szCs w:val="20"/>
        </w:rPr>
        <w:t>nt services at our previously idled 289-bed Turley Residential Center and at our 494-bed Oklahoma Reentry Opportunity Center, both in Oklahoma. The new contract supplements the existing utilization by the state of Oklahoma at the Oklahoma Reentry Opportuni</w:t>
      </w:r>
      <w:r>
        <w:rPr>
          <w:sz w:val="20"/>
          <w:szCs w:val="20"/>
        </w:rPr>
        <w:t>ty Center. Further, we are exploring potential opportunities to expand the scope of non-residential correctional alternative solutions we provide to government agencies. This process includes evaluating opportunities to provide certain services that were n</w:t>
      </w:r>
      <w:r>
        <w:rPr>
          <w:sz w:val="20"/>
          <w:szCs w:val="20"/>
        </w:rPr>
        <w:t>ot available to us under the REIT structure</w:t>
      </w:r>
      <w:r>
        <w:rPr>
          <w:sz w:val="20"/>
          <w:szCs w:val="20"/>
        </w:rPr>
        <w:t>.</w:t>
      </w:r>
    </w:p>
    <w:p w:rsidR="00000000" w:rsidRDefault="006D723D">
      <w:pPr>
        <w:pStyle w:val="a3"/>
        <w:spacing w:before="240" w:beforeAutospacing="0" w:after="0" w:afterAutospacing="0"/>
        <w:jc w:val="center"/>
        <w:rPr>
          <w:sz w:val="20"/>
          <w:szCs w:val="20"/>
        </w:rPr>
      </w:pPr>
      <w:r>
        <w:rPr>
          <w:sz w:val="20"/>
          <w:szCs w:val="20"/>
        </w:rPr>
        <w:t>3</w:t>
      </w:r>
      <w:r>
        <w:rPr>
          <w:sz w:val="20"/>
          <w:szCs w:val="20"/>
        </w:rPr>
        <w:t>0</w:t>
      </w:r>
    </w:p>
    <w:p w:rsidR="00000000" w:rsidRDefault="006D723D">
      <w:pPr>
        <w:rPr>
          <w:rFonts w:eastAsia="Times New Roman"/>
        </w:rPr>
      </w:pPr>
      <w:r>
        <w:rPr>
          <w:rFonts w:eastAsia="Times New Roman"/>
        </w:rPr>
        <w:pict>
          <v:rect id="_x0000_i1054"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120" w:beforeAutospacing="0" w:after="120" w:afterAutospacing="0"/>
        <w:jc w:val="both"/>
        <w:rPr>
          <w:sz w:val="20"/>
          <w:szCs w:val="20"/>
        </w:rPr>
      </w:pPr>
      <w:r>
        <w:rPr>
          <w:i/>
          <w:iCs/>
          <w:sz w:val="20"/>
          <w:szCs w:val="20"/>
        </w:rPr>
        <w:t>Flexible Real Estate Solutions.</w:t>
      </w:r>
      <w:r>
        <w:rPr>
          <w:i/>
          <w:iCs/>
          <w:sz w:val="20"/>
          <w:szCs w:val="20"/>
        </w:rPr>
        <w:t xml:space="preserve"> </w:t>
      </w:r>
      <w:r>
        <w:rPr>
          <w:sz w:val="20"/>
          <w:szCs w:val="20"/>
        </w:rPr>
        <w:t>Through our CoreCivic Properties segment, as of December 31, 2022, we owned 8 properties leased to government agencies, totaling 1.8 milli</w:t>
      </w:r>
      <w:r>
        <w:rPr>
          <w:sz w:val="20"/>
          <w:szCs w:val="20"/>
        </w:rPr>
        <w:t>on square feet. We have an extensive network of government relationships and the capability to manage and maintain complex properties, built over our 40-year history. In addition, we offer our customers an attractive portfolio of correctional, detention, a</w:t>
      </w:r>
      <w:r>
        <w:rPr>
          <w:sz w:val="20"/>
          <w:szCs w:val="20"/>
        </w:rPr>
        <w:t>nd reentry facilities that can be leased for various needs as an alternative to providing "turn-key" correctional, detention, and residential reentry bed space and services to our government partners. In September 2021, we announced that we had entered int</w:t>
      </w:r>
      <w:r>
        <w:rPr>
          <w:sz w:val="20"/>
          <w:szCs w:val="20"/>
        </w:rPr>
        <w:t>o a three-year lease agreement with the state of New Mexico at our 596-bed Northwest New Mexico Correctional Center. We previously operated the Northwest New Mexico facility in our Safety segment under a contract with the state of New Mexico. The new lease</w:t>
      </w:r>
      <w:r>
        <w:rPr>
          <w:sz w:val="20"/>
          <w:szCs w:val="20"/>
        </w:rPr>
        <w:t xml:space="preserve"> agreement commenced on November 1, 2021 and includes extension options that could extend the term of the lease through October 31, 2041. We will retain responsibility for facility maintenance throughout the term of the lease. The lease of this facility, a</w:t>
      </w:r>
      <w:r>
        <w:rPr>
          <w:sz w:val="20"/>
          <w:szCs w:val="20"/>
        </w:rPr>
        <w:t>long with the lease of our 656-bed Southeast Correctional Complex to the KYDOC originating in 2019, the lease of our 2,400-bed North Fork Correctional Facility to the ODOC originating in 2016, and the lease of our California City Correctional Center to the</w:t>
      </w:r>
      <w:r>
        <w:rPr>
          <w:sz w:val="20"/>
          <w:szCs w:val="20"/>
        </w:rPr>
        <w:t xml:space="preserve"> CDCR originating in 2013, demonstrate our ability to react quickly to our partners' needs with innovative, flexible and cost-effective solutions. We previously operated these four correctional facilities for various state and federal partners. We intend t</w:t>
      </w:r>
      <w:r>
        <w:rPr>
          <w:sz w:val="20"/>
          <w:szCs w:val="20"/>
        </w:rPr>
        <w:t>o pursue additional opportunities to lease prison facilities to government and other third-party operators in need of correctional capacity</w:t>
      </w:r>
      <w:r>
        <w:rPr>
          <w:sz w:val="20"/>
          <w:szCs w:val="20"/>
        </w:rPr>
        <w:t>.</w:t>
      </w:r>
      <w:r>
        <w:rPr>
          <w:sz w:val="20"/>
          <w:szCs w:val="20"/>
        </w:rPr>
        <w:t xml:space="preserve"> </w:t>
      </w:r>
    </w:p>
    <w:p w:rsidR="00000000" w:rsidRDefault="006D723D">
      <w:pPr>
        <w:pStyle w:val="a3"/>
        <w:spacing w:before="240" w:beforeAutospacing="0" w:after="120" w:afterAutospacing="0"/>
        <w:jc w:val="both"/>
        <w:rPr>
          <w:sz w:val="20"/>
          <w:szCs w:val="20"/>
        </w:rPr>
      </w:pPr>
      <w:r>
        <w:rPr>
          <w:sz w:val="20"/>
          <w:szCs w:val="20"/>
        </w:rPr>
        <w:t>In January 2018, we entered into a 20-year lease agreement with the Kansas Department of Corrections, or KDOC, for</w:t>
      </w:r>
      <w:r>
        <w:rPr>
          <w:sz w:val="20"/>
          <w:szCs w:val="20"/>
        </w:rPr>
        <w:t xml:space="preserve"> a 2,432-bed correctional facility to be constructed in Lansing, Kansas. This transaction represented the first development of a privately owned, build-to-suit correctional facility to be operated by a government agency through a long-term lease agreement.</w:t>
      </w:r>
      <w:r>
        <w:rPr>
          <w:sz w:val="20"/>
          <w:szCs w:val="20"/>
        </w:rPr>
        <w:t xml:space="preserve"> We commenced construction of the facility in the first quarter of 2018. In December 2019, the Lansing facility began accepting offenders into the 512-bed minimum security complex ahead of schedule, with the remaining 1,920-bed medium/maximum security comp</w:t>
      </w:r>
      <w:r>
        <w:rPr>
          <w:sz w:val="20"/>
          <w:szCs w:val="20"/>
        </w:rPr>
        <w:t>lex completed in January 2020. The new facility replaced the Lansing Correctional Facility, Kansas' largest correctional complex for adult male inmates, originally constructed in 1863. We are responsible for facility maintenance throughout the 20-year term</w:t>
      </w:r>
      <w:r>
        <w:rPr>
          <w:sz w:val="20"/>
          <w:szCs w:val="20"/>
        </w:rPr>
        <w:t xml:space="preserve"> of the lease, at which time ownership will revert to the state of Kansas</w:t>
      </w:r>
      <w:r>
        <w:rPr>
          <w:sz w:val="20"/>
          <w:szCs w:val="20"/>
        </w:rPr>
        <w:t>.</w:t>
      </w:r>
      <w:r>
        <w:rPr>
          <w:sz w:val="20"/>
          <w:szCs w:val="20"/>
        </w:rPr>
        <w:t xml:space="preserve"> </w:t>
      </w:r>
    </w:p>
    <w:p w:rsidR="00000000" w:rsidRDefault="006D723D">
      <w:pPr>
        <w:pStyle w:val="a3"/>
        <w:spacing w:before="240" w:beforeAutospacing="0" w:after="120" w:afterAutospacing="0"/>
        <w:jc w:val="both"/>
        <w:rPr>
          <w:sz w:val="20"/>
          <w:szCs w:val="20"/>
        </w:rPr>
      </w:pPr>
      <w:r>
        <w:rPr>
          <w:sz w:val="20"/>
          <w:szCs w:val="20"/>
        </w:rPr>
        <w:t>With the extensively aged criminal justice infrastructure in the U.S. today, we also believe we can provide our "turn-key" services to public correctional systems in need of replac</w:t>
      </w:r>
      <w:r>
        <w:rPr>
          <w:sz w:val="20"/>
          <w:szCs w:val="20"/>
        </w:rPr>
        <w:t>ement capacity, growing our business without an overall increase in incarcerated populations. In December 2021, we were awarded a new management contract from the state of Arizona for up to 2,706 inmates at our 3,060-bed La Palma Correctional Center in Ari</w:t>
      </w:r>
      <w:r>
        <w:rPr>
          <w:sz w:val="20"/>
          <w:szCs w:val="20"/>
        </w:rPr>
        <w:t>zona. The state of Arizona closed an outdated public-sector prison and transferred the inmate populations from this prison and multiple other public-sector prisons to our La Palma facility. The transfer commenced in April 2022 and was substantially complet</w:t>
      </w:r>
      <w:r>
        <w:rPr>
          <w:sz w:val="20"/>
          <w:szCs w:val="20"/>
        </w:rPr>
        <w:t xml:space="preserve">ed in the fourth quarter of 2022. Before the new award, the La Palma facility supported the mission of ICE by caring for approximately 1,800 detainees. We have also recently received inquiries about our capacity to accept transfers of offender populations </w:t>
      </w:r>
      <w:r>
        <w:rPr>
          <w:sz w:val="20"/>
          <w:szCs w:val="20"/>
        </w:rPr>
        <w:t>from public-sector facilities because of the inability of our government partners to maintain adequate staffing levels to manage their facilities. As a private enterprise, we have the ability to respond more quickly to changing market conditions, and can o</w:t>
      </w:r>
      <w:r>
        <w:rPr>
          <w:sz w:val="20"/>
          <w:szCs w:val="20"/>
        </w:rPr>
        <w:t>ffer various types of incentives to attract and retain correctional staff that are more difficult for government agencies to provide</w:t>
      </w:r>
      <w:r>
        <w:rPr>
          <w:sz w:val="20"/>
          <w:szCs w:val="20"/>
        </w:rPr>
        <w:t>.</w:t>
      </w:r>
    </w:p>
    <w:p w:rsidR="00000000" w:rsidRDefault="006D723D">
      <w:pPr>
        <w:pStyle w:val="a3"/>
        <w:spacing w:before="240" w:beforeAutospacing="0" w:after="0" w:afterAutospacing="0"/>
        <w:jc w:val="both"/>
        <w:rPr>
          <w:sz w:val="20"/>
          <w:szCs w:val="20"/>
        </w:rPr>
      </w:pPr>
      <w:r>
        <w:rPr>
          <w:i/>
          <w:iCs/>
          <w:sz w:val="20"/>
          <w:szCs w:val="20"/>
        </w:rPr>
        <w:t>Attractive Real Estate Portfolio.</w:t>
      </w:r>
      <w:r>
        <w:rPr>
          <w:i/>
          <w:iCs/>
          <w:sz w:val="20"/>
          <w:szCs w:val="20"/>
        </w:rPr>
        <w:t xml:space="preserve"> </w:t>
      </w:r>
      <w:r>
        <w:rPr>
          <w:sz w:val="20"/>
          <w:szCs w:val="20"/>
        </w:rPr>
        <w:t>As of December 31, 2022, the properties we owned or controlled represented 95% of our po</w:t>
      </w:r>
      <w:r>
        <w:rPr>
          <w:sz w:val="20"/>
          <w:szCs w:val="20"/>
        </w:rPr>
        <w:t>rtfolio of 75 facilities. The weighted average age of our portfolio of facilities in our CoreCivic Safety, CoreCivic Community, and CoreCivic Properties segments is 23, 28, and 21 years, respectively. These valuable assets are located in areas with high ba</w:t>
      </w:r>
      <w:r>
        <w:rPr>
          <w:sz w:val="20"/>
          <w:szCs w:val="20"/>
        </w:rPr>
        <w:t>rriers to entry, particularly due to the unique permitting and zoning requirements for these facilities. Further, the majority of our assets are constructed primarily of concrete and steel, generally requiring lower maintenance capital expenditures than ot</w:t>
      </w:r>
      <w:r>
        <w:rPr>
          <w:sz w:val="20"/>
          <w:szCs w:val="20"/>
        </w:rPr>
        <w:t>her types of commercial properties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We believe we are the largest developer of mission-critical, criminal justice center real estate projects over the past 15 years. We provide space and services under contracts with federal, state, and local government a</w:t>
      </w:r>
      <w:r>
        <w:rPr>
          <w:sz w:val="20"/>
          <w:szCs w:val="20"/>
        </w:rPr>
        <w:t>gencies that generally have credit ratings of single-A or better. In addition, a majority of our contracts have terms between one and five years, and we have experienced customer retention of approximately 95% at facilities we owned or controlled via long-</w:t>
      </w:r>
      <w:r>
        <w:rPr>
          <w:sz w:val="20"/>
          <w:szCs w:val="20"/>
        </w:rPr>
        <w:t>term lease during the previous five years, which contributes to our relatively predictable and stable revenue base. This stream of revenue combined with our low maintenance capital expenditure requirement translates into steady, predictable cash flow</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3</w:t>
      </w:r>
      <w:r>
        <w:rPr>
          <w:sz w:val="20"/>
          <w:szCs w:val="20"/>
        </w:rPr>
        <w:t>1</w:t>
      </w:r>
    </w:p>
    <w:p w:rsidR="00000000" w:rsidRDefault="006D723D">
      <w:pPr>
        <w:rPr>
          <w:rFonts w:eastAsia="Times New Roman"/>
        </w:rPr>
      </w:pPr>
      <w:r>
        <w:rPr>
          <w:rFonts w:eastAsia="Times New Roman"/>
        </w:rPr>
        <w:pict>
          <v:rect id="_x0000_i1055"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i/>
          <w:iCs/>
          <w:sz w:val="20"/>
          <w:szCs w:val="20"/>
        </w:rPr>
        <w:t>Development and Expansion Opportuniti</w:t>
      </w:r>
      <w:r>
        <w:rPr>
          <w:i/>
          <w:iCs/>
          <w:sz w:val="20"/>
          <w:szCs w:val="20"/>
        </w:rPr>
        <w:t>e</w:t>
      </w:r>
      <w:r>
        <w:rPr>
          <w:sz w:val="20"/>
          <w:szCs w:val="20"/>
        </w:rPr>
        <w:t>s. Although disrupted by the COVID-19 pandemic, several of our existing federal and state partners, as well as prospective state partners, have been experiencing growth in offender</w:t>
      </w:r>
      <w:r>
        <w:rPr>
          <w:sz w:val="20"/>
          <w:szCs w:val="20"/>
        </w:rPr>
        <w:t xml:space="preserve"> populations and overcrowded conditions, as well as an increase in violent crime. Governments are continuing to assess their need for correctional space in light of COVID-19, and several are continuing to consider alternative correctional capacity for thei</w:t>
      </w:r>
      <w:r>
        <w:rPr>
          <w:sz w:val="20"/>
          <w:szCs w:val="20"/>
        </w:rPr>
        <w:t xml:space="preserve">r aged or inefficient infrastructure, or are seeking cost savings by utilizing the private sector, which could result in increased future demand for the solutions we provide. Competing budget priorities often impede our customers' ability to construct new </w:t>
      </w:r>
      <w:r>
        <w:rPr>
          <w:sz w:val="20"/>
          <w:szCs w:val="20"/>
        </w:rPr>
        <w:t>prison beds of their own or update their older facilities, which we believe could result in further demand for private sector prison capacity solutions in the long-term. Over the long-term, we would like to see meaningful utilization of our available capac</w:t>
      </w:r>
      <w:r>
        <w:rPr>
          <w:sz w:val="20"/>
          <w:szCs w:val="20"/>
        </w:rPr>
        <w:t>ity and better visibility from our customers into their potential future needs before we develop new prison capacity on a speculative basis. We will, however, respond to customer demand and may develop or expand correctional and detention facilities when w</w:t>
      </w:r>
      <w:r>
        <w:rPr>
          <w:sz w:val="20"/>
          <w:szCs w:val="20"/>
        </w:rPr>
        <w:t xml:space="preserve">e believe potential long-term returns justify the capital deployment. With the extensively aged criminal justice infrastructure in the U.S. today, we also believe we can bring real estate solutions to government agencies like we did in connection with the </w:t>
      </w:r>
      <w:r>
        <w:rPr>
          <w:sz w:val="20"/>
          <w:szCs w:val="20"/>
        </w:rPr>
        <w:t>construction of the Lansing Correctional Facility that was brought online in January 2020</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i/>
          <w:iCs/>
          <w:sz w:val="20"/>
          <w:szCs w:val="20"/>
        </w:rPr>
        <w:t>Increasing Financial Flexibility.</w:t>
      </w:r>
      <w:r>
        <w:rPr>
          <w:i/>
          <w:iCs/>
          <w:sz w:val="20"/>
          <w:szCs w:val="20"/>
        </w:rPr>
        <w:t xml:space="preserve"> </w:t>
      </w:r>
      <w:r>
        <w:rPr>
          <w:sz w:val="20"/>
          <w:szCs w:val="20"/>
        </w:rPr>
        <w:t>Effective January 1, 2021, we revoked our election to be taxed as a REIT, and therefore, are subject to federal and state income t</w:t>
      </w:r>
      <w:r>
        <w:rPr>
          <w:sz w:val="20"/>
          <w:szCs w:val="20"/>
        </w:rPr>
        <w:t>axes on our taxable income at applicable tax rates and are no longer entitled to a tax deduction for dividends paid. However, we believe this conversion in corporate tax structure improves our overall credit profile and will lower our overall cost of capit</w:t>
      </w:r>
      <w:r>
        <w:rPr>
          <w:sz w:val="20"/>
          <w:szCs w:val="20"/>
        </w:rPr>
        <w:t>al, as we are able to allocate our free cash flow toward the repayment of debt, which may include the purchase of our outstanding debt in open market transactions, privately negotiated transactions or otherwise. Any such debt repurchases will depend upon p</w:t>
      </w:r>
      <w:r>
        <w:rPr>
          <w:sz w:val="20"/>
          <w:szCs w:val="20"/>
        </w:rPr>
        <w:t>revailing market conditions, our liquidity requirements, contractual requirements, applicable securities laws requirements, and other factors. Following our first priority of utilizing free cash flow to reduce debt, we expect to allocate a substantial port</w:t>
      </w:r>
      <w:r>
        <w:rPr>
          <w:sz w:val="20"/>
          <w:szCs w:val="20"/>
        </w:rPr>
        <w:t xml:space="preserve">ion of our free cash flow to returning capital to our shareholders, which could include share repurchases and future dividends. Any future dividend is subject to the BOD's determinations as to the amount of distributions and the timing thereof, as well as </w:t>
      </w:r>
      <w:r>
        <w:rPr>
          <w:sz w:val="20"/>
          <w:szCs w:val="20"/>
        </w:rPr>
        <w:t>limitations under the Company's debt covenants. We were not able to implement a meaningful share repurchase program under the REIT structure without increasing our debt because a substantial portion of our free cash flow was required to satisfy the distrib</w:t>
      </w:r>
      <w:r>
        <w:rPr>
          <w:sz w:val="20"/>
          <w:szCs w:val="20"/>
        </w:rPr>
        <w:t>ution requirements under the REIT structure. On May 2, 2022, the BOD approved a share repurchase program to purchase up to $150.0 million of our common stock. On August 2, 2022, the BOD increased the authorization to repurchase under the share repurchase p</w:t>
      </w:r>
      <w:r>
        <w:rPr>
          <w:sz w:val="20"/>
          <w:szCs w:val="20"/>
        </w:rPr>
        <w:t>rogram by up to an additional $75.0 million of our common stock, which resulted in a total aggregate authorized amount to repurchase up to $225.0 million of our common stock. Through December 31, 2022, we completed the repurchase of 6.6 million shares of o</w:t>
      </w:r>
      <w:r>
        <w:rPr>
          <w:sz w:val="20"/>
          <w:szCs w:val="20"/>
        </w:rPr>
        <w:t xml:space="preserve">ur common stock at a total cost of $74.5 million, using cash on hand and cash provided by operations. For more information about the repurchases made under our share repurchase program, see </w:t>
      </w:r>
      <w:r>
        <w:rPr>
          <w:sz w:val="20"/>
          <w:szCs w:val="20"/>
        </w:rPr>
        <w:t>"</w:t>
      </w:r>
      <w:r>
        <w:rPr>
          <w:i/>
          <w:iCs/>
          <w:sz w:val="20"/>
          <w:szCs w:val="20"/>
        </w:rPr>
        <w:t>Part II, Item 5. Market For Registrant's Common Equity, Related S</w:t>
      </w:r>
      <w:r>
        <w:rPr>
          <w:i/>
          <w:iCs/>
          <w:sz w:val="20"/>
          <w:szCs w:val="20"/>
        </w:rPr>
        <w:t>tockholder Matters and Issuer Purchases of Equity Securities – Issuer Purchases of Equity Securitie</w:t>
      </w:r>
      <w:r>
        <w:rPr>
          <w:i/>
          <w:iCs/>
          <w:sz w:val="20"/>
          <w:szCs w:val="20"/>
        </w:rPr>
        <w:t>s</w:t>
      </w:r>
      <w:r>
        <w:rPr>
          <w:sz w:val="20"/>
          <w:szCs w:val="20"/>
        </w:rPr>
        <w:t>.</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We will also pursue attractive growth opportunities, including new development opportunities in our Properties segment, to meet the need to modernize ou</w:t>
      </w:r>
      <w:r>
        <w:rPr>
          <w:sz w:val="20"/>
          <w:szCs w:val="20"/>
        </w:rPr>
        <w:t xml:space="preserve">tdated correctional infrastructure across the country, and explore potential opportunities to expand the scope of non-residential correctional alternatives we provide in our Community segment that were not available under the REIT structure. As a REIT, we </w:t>
      </w:r>
      <w:r>
        <w:rPr>
          <w:sz w:val="20"/>
          <w:szCs w:val="20"/>
        </w:rPr>
        <w:t>depended on the capital markets to provide resources we could deploy toward acquisition and development opportunities. This capital was not always available to us and came at an increasing cost. The revocation of our REIT election provides us with signific</w:t>
      </w:r>
      <w:r>
        <w:rPr>
          <w:sz w:val="20"/>
          <w:szCs w:val="20"/>
        </w:rPr>
        <w:t>antly more liquidity and financial flexibility, which enables us to reduce our reliance on the capital markets and enabled us to reduce the size of our Bank Credit Facility</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As of December 31, 2022, we had cash on hand of $149.4 million and $233.2 million</w:t>
      </w:r>
      <w:r>
        <w:rPr>
          <w:sz w:val="20"/>
          <w:szCs w:val="20"/>
        </w:rPr>
        <w:t xml:space="preserve"> available under our New Revolving Credit Facility, which has borrowing capacity of up to $250.0 million. Our total weighted average effective interest rate on all outstanding debt was 7.1%, while our total weighted average maturity on all outstanding debt</w:t>
      </w:r>
      <w:r>
        <w:rPr>
          <w:sz w:val="20"/>
          <w:szCs w:val="20"/>
        </w:rPr>
        <w:t xml:space="preserve"> was 4.9 years. For the year ended December 31, 2022, our fixed charge coverage ratio was 3.2x and our debt leverage ratio was 3.2x. During the year ended December 31, 2022, we generated $153.6 million in cash through operating activities</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3</w:t>
      </w:r>
      <w:r>
        <w:rPr>
          <w:sz w:val="20"/>
          <w:szCs w:val="20"/>
        </w:rPr>
        <w:t>2</w:t>
      </w:r>
    </w:p>
    <w:p w:rsidR="00000000" w:rsidRDefault="006D723D">
      <w:pPr>
        <w:rPr>
          <w:rFonts w:eastAsia="Times New Roman"/>
        </w:rPr>
      </w:pPr>
      <w:r>
        <w:rPr>
          <w:rFonts w:eastAsia="Times New Roman"/>
        </w:rPr>
        <w:pict>
          <v:rect id="_x0000_i1056"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i/>
          <w:iCs/>
          <w:sz w:val="20"/>
          <w:szCs w:val="20"/>
        </w:rPr>
        <w:t>Offer Compelling Value to Correctional Agencies</w:t>
      </w:r>
      <w:r>
        <w:rPr>
          <w:i/>
          <w:iCs/>
          <w:sz w:val="20"/>
          <w:szCs w:val="20"/>
        </w:rPr>
        <w:t>.</w:t>
      </w:r>
      <w:r>
        <w:rPr>
          <w:sz w:val="20"/>
          <w:szCs w:val="20"/>
        </w:rPr>
        <w:t xml:space="preserve"> We believe our government partners seek a compelling value and service offering when selecting an outsourced correctional services provider. We believe we offer a cost-e</w:t>
      </w:r>
      <w:r>
        <w:rPr>
          <w:sz w:val="20"/>
          <w:szCs w:val="20"/>
        </w:rPr>
        <w:t>ffective alternative to our government partners by reducing their correctional services costs, including the avoidance of long-term pension obligations and large capital investments in new bed capacity. We endeavor to improve operating performance and effi</w:t>
      </w:r>
      <w:r>
        <w:rPr>
          <w:sz w:val="20"/>
          <w:szCs w:val="20"/>
        </w:rPr>
        <w:t>ciency through the following key operating initiatives: (1) standardizing supply and service purchasing practices and usage; (2) implementing a standard approach to staffing and business practices; (3) improving offender management, resource consumption, a</w:t>
      </w:r>
      <w:r>
        <w:rPr>
          <w:sz w:val="20"/>
          <w:szCs w:val="20"/>
        </w:rPr>
        <w:t xml:space="preserve">nd reporting procedures through the utilization of numerous technological initiatives; (4) reconfiguring facility bed space to optimize capacity utilization; and (5) improving productivity. Through ongoing company-wide initiatives, we continue to focus on </w:t>
      </w:r>
      <w:r>
        <w:rPr>
          <w:sz w:val="20"/>
          <w:szCs w:val="20"/>
        </w:rPr>
        <w:t>efforts to improve operating efficiencies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Since 2017, we have maintained a nationwide initiative to advocate for a range of government policies that will help former offenders successfully reenter society and stay out of prison. In 2020, we announced tha</w:t>
      </w:r>
      <w:r>
        <w:rPr>
          <w:sz w:val="20"/>
          <w:szCs w:val="20"/>
        </w:rPr>
        <w:t>t we will publicly advocate at the federal and state levels for a slate of new policies that will help people succeed in their communities after being released from prison. Specifically, we pledged our support for Pell Grant Restoration, Voting Rights Rest</w:t>
      </w:r>
      <w:r>
        <w:rPr>
          <w:sz w:val="20"/>
          <w:szCs w:val="20"/>
        </w:rPr>
        <w:t>oration and Licensure Reform Policies. Also in 2020, we began a partnership with, and continue to invest in, Prison Fellowship, a leading advocate for criminal justice reform serving current and formerly incarcerated individuals and their family members. T</w:t>
      </w:r>
      <w:r>
        <w:rPr>
          <w:sz w:val="20"/>
          <w:szCs w:val="20"/>
        </w:rPr>
        <w:t xml:space="preserve">hrough a network of programming and advocacy efforts, the organization seeks to effect positive change at every level of the criminal justice system. We have committed to a multi-year partnership in Prison Fellowship's Warden Exchange program, a residency </w:t>
      </w:r>
      <w:r>
        <w:rPr>
          <w:sz w:val="20"/>
          <w:szCs w:val="20"/>
        </w:rPr>
        <w:t xml:space="preserve">and online professional development program that enables wardens to share reentry best practices and problem solve amongst a peer group. We believe that as successful as we may be with our work inside our facilities, offenders still face embedded societal </w:t>
      </w:r>
      <w:r>
        <w:rPr>
          <w:sz w:val="20"/>
          <w:szCs w:val="20"/>
        </w:rPr>
        <w:t>barriers when they return to their communities. Through our strong commitment to community corrections and reentry programs, we offer our government partners additional long-term value. Our evidence-based reentry programs, including academic education, voc</w:t>
      </w:r>
      <w:r>
        <w:rPr>
          <w:sz w:val="20"/>
          <w:szCs w:val="20"/>
        </w:rPr>
        <w:t>ational training, substance abuse treatment, life skills training, and faith-based programming, are customizable based on partner needs and are applied utilizing best practices and/or industry standards. Our proprietary reentry process and cognitive/behavi</w:t>
      </w:r>
      <w:r>
        <w:rPr>
          <w:sz w:val="20"/>
          <w:szCs w:val="20"/>
        </w:rPr>
        <w:t>oral curriculum, "Go Further," promotes a comprehensive approach to addressing the barriers to a successful return to society. Through our efforts in community corrections and reentry programs, we can provide consistency and common standards across facilit</w:t>
      </w:r>
      <w:r>
        <w:rPr>
          <w:sz w:val="20"/>
          <w:szCs w:val="20"/>
        </w:rPr>
        <w:t>ies. We can also serve multiple levels of government on an as-needed basis, all toward reaching the goal we share with our government partners of providing offenders with the opportunity to succeed when they are released, making our communities safer, and,</w:t>
      </w:r>
      <w:r>
        <w:rPr>
          <w:sz w:val="20"/>
          <w:szCs w:val="20"/>
        </w:rPr>
        <w:t xml:space="preserve"> ultimately, reducing recidivism</w:t>
      </w:r>
      <w:r>
        <w:rPr>
          <w:sz w:val="20"/>
          <w:szCs w:val="20"/>
        </w:rPr>
        <w:t>.</w:t>
      </w:r>
    </w:p>
    <w:p w:rsidR="00000000" w:rsidRDefault="006D723D">
      <w:pPr>
        <w:pStyle w:val="a3"/>
        <w:spacing w:before="240" w:beforeAutospacing="0" w:after="0" w:afterAutospacing="0"/>
        <w:jc w:val="both"/>
        <w:rPr>
          <w:sz w:val="20"/>
          <w:szCs w:val="20"/>
        </w:rPr>
      </w:pPr>
      <w:r>
        <w:rPr>
          <w:sz w:val="20"/>
          <w:szCs w:val="20"/>
        </w:rPr>
        <w:t xml:space="preserve">We also offer a wide variety of specialized services that address the unique needs of various segments of the offender population. Because the offenders in the facilities we operate differ with respect to security levels, </w:t>
      </w:r>
      <w:r>
        <w:rPr>
          <w:sz w:val="20"/>
          <w:szCs w:val="20"/>
        </w:rPr>
        <w:t>ages, genders, and cultures, we focus on the particular needs of an offender population and tailor our services based on local conditions and our ability to provide services on a cost-effective basis</w:t>
      </w:r>
      <w:r>
        <w:rPr>
          <w:sz w:val="20"/>
          <w:szCs w:val="20"/>
        </w:rPr>
        <w:t>.</w:t>
      </w:r>
    </w:p>
    <w:p w:rsidR="00000000" w:rsidRDefault="006D723D">
      <w:pPr>
        <w:pStyle w:val="a3"/>
        <w:spacing w:before="240" w:beforeAutospacing="0" w:after="0" w:afterAutospacing="0"/>
        <w:jc w:val="both"/>
        <w:rPr>
          <w:sz w:val="20"/>
          <w:szCs w:val="20"/>
        </w:rPr>
      </w:pPr>
      <w:r>
        <w:rPr>
          <w:sz w:val="20"/>
          <w:szCs w:val="20"/>
        </w:rPr>
        <w:t>We believe our government partners and other agencies i</w:t>
      </w:r>
      <w:r>
        <w:rPr>
          <w:sz w:val="20"/>
          <w:szCs w:val="20"/>
        </w:rPr>
        <w:t>n the criminal justice sector also seek a compelling value and service offering when pursuing solutions to their unique real estate needs. We believe our track record of constructing quality assets on time and within budget, our design and construction met</w:t>
      </w:r>
      <w:r>
        <w:rPr>
          <w:sz w:val="20"/>
          <w:szCs w:val="20"/>
        </w:rPr>
        <w:t>hods, unique financing alternatives, and our expertise and experience enable us to provide a compelling value proposition for the construction of mission-critical government real estate assets. We also offer utility management services using environmentall</w:t>
      </w:r>
      <w:r>
        <w:rPr>
          <w:sz w:val="20"/>
          <w:szCs w:val="20"/>
        </w:rPr>
        <w:t>y-friendly, state-of-the-art technology and believe our robust preventive maintenance program included in our service offering significantly reduces the risk of real estate neglect</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i/>
          <w:iCs/>
          <w:sz w:val="20"/>
          <w:szCs w:val="20"/>
        </w:rPr>
        <w:t>Proven Senior Management Team</w:t>
      </w:r>
      <w:r>
        <w:rPr>
          <w:i/>
          <w:iCs/>
          <w:sz w:val="20"/>
          <w:szCs w:val="20"/>
        </w:rPr>
        <w:t>.</w:t>
      </w:r>
      <w:r>
        <w:rPr>
          <w:sz w:val="20"/>
          <w:szCs w:val="20"/>
        </w:rPr>
        <w:t xml:space="preserve"> Our senior management team has applied the</w:t>
      </w:r>
      <w:r>
        <w:rPr>
          <w:sz w:val="20"/>
          <w:szCs w:val="20"/>
        </w:rPr>
        <w:t>ir prior experience and diverse industry expertise to improve our operations, related financial results, and capital structure. Under our senior management team's leadership, we have successfully executed strategies to diversify our business and offer a br</w:t>
      </w:r>
      <w:r>
        <w:rPr>
          <w:sz w:val="20"/>
          <w:szCs w:val="20"/>
        </w:rPr>
        <w:t>oader range of solutions to government partners, created new business opportunities with customers that have not previously utilized the private corrections sector, completed several business combination transactions and corporate structure changes adaptin</w:t>
      </w:r>
      <w:r>
        <w:rPr>
          <w:sz w:val="20"/>
          <w:szCs w:val="20"/>
        </w:rPr>
        <w:t>g to dynamic environments, and successfully completed numerous financing transactions</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3</w:t>
      </w:r>
      <w:r>
        <w:rPr>
          <w:sz w:val="20"/>
          <w:szCs w:val="20"/>
        </w:rPr>
        <w:t>3</w:t>
      </w:r>
    </w:p>
    <w:p w:rsidR="00000000" w:rsidRDefault="006D723D">
      <w:pPr>
        <w:rPr>
          <w:rFonts w:eastAsia="Times New Roman"/>
        </w:rPr>
      </w:pPr>
      <w:r>
        <w:rPr>
          <w:rFonts w:eastAsia="Times New Roman"/>
        </w:rPr>
        <w:pict>
          <v:rect id="_x0000_i1057"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i/>
          <w:iCs/>
          <w:sz w:val="20"/>
          <w:szCs w:val="20"/>
        </w:rPr>
        <w:t>ESG Accountability.</w:t>
      </w:r>
      <w:r>
        <w:rPr>
          <w:i/>
          <w:iCs/>
          <w:sz w:val="20"/>
          <w:szCs w:val="20"/>
        </w:rPr>
        <w:t xml:space="preserve"> </w:t>
      </w:r>
      <w:r>
        <w:rPr>
          <w:sz w:val="20"/>
          <w:szCs w:val="20"/>
        </w:rPr>
        <w:t>In May 2022, w</w:t>
      </w:r>
      <w:r>
        <w:rPr>
          <w:sz w:val="20"/>
          <w:szCs w:val="20"/>
        </w:rPr>
        <w:t>e</w:t>
      </w:r>
      <w:r>
        <w:rPr>
          <w:i/>
          <w:iCs/>
          <w:sz w:val="20"/>
          <w:szCs w:val="20"/>
        </w:rPr>
        <w:t xml:space="preserve"> </w:t>
      </w:r>
      <w:r>
        <w:rPr>
          <w:sz w:val="20"/>
          <w:szCs w:val="20"/>
        </w:rPr>
        <w:t>issued our fourth ESG report, which summarizes our impacts and aspirational goals across e</w:t>
      </w:r>
      <w:r>
        <w:rPr>
          <w:sz w:val="20"/>
          <w:szCs w:val="20"/>
        </w:rPr>
        <w:t>nvironmental, social, and governance topics. The report covers the year ended December 31, 2021, and details our commitment to reducing the national recidivism crisis through evidence-based practice in our reentry programs. In addition, the report covers p</w:t>
      </w:r>
      <w:r>
        <w:rPr>
          <w:sz w:val="20"/>
          <w:szCs w:val="20"/>
        </w:rPr>
        <w:t>rogress in our human rights-related goals, including delivery of human rights training to more than 90% of continuing employees, delivery of human rights training to all members of our BOD and senior executives, and incorporation of human rights elements i</w:t>
      </w:r>
      <w:r>
        <w:rPr>
          <w:sz w:val="20"/>
          <w:szCs w:val="20"/>
        </w:rPr>
        <w:t>n over 20 pre-service training courses. The report also updates our stakeholders on the implementation of environmental-related initiatives, and describes shifting the focus of our energy/utilities management capital budget from LED lighting retrofits, whi</w:t>
      </w:r>
      <w:r>
        <w:rPr>
          <w:sz w:val="20"/>
          <w:szCs w:val="20"/>
        </w:rPr>
        <w:t>ch we completed in all CoreCivic Safety owned, operated and occupied facilities during 2022, to integrating water conservation and control measures in water-scarce regions. Additionally, the report summarizes our management approach and activities in topic</w:t>
      </w:r>
      <w:r>
        <w:rPr>
          <w:sz w:val="20"/>
          <w:szCs w:val="20"/>
        </w:rPr>
        <w:t>s including DE&amp;I; political activity and contributions; supplier diversity; charitable giving; PREA compliance; ethics; and workforce rights, compensation, benefits and training</w:t>
      </w:r>
      <w:r>
        <w:rPr>
          <w:sz w:val="20"/>
          <w:szCs w:val="20"/>
        </w:rPr>
        <w:t>.</w:t>
      </w:r>
    </w:p>
    <w:p w:rsidR="00000000" w:rsidRDefault="006D723D">
      <w:pPr>
        <w:pStyle w:val="a3"/>
        <w:spacing w:before="240" w:beforeAutospacing="0" w:after="0" w:afterAutospacing="0"/>
        <w:jc w:val="both"/>
        <w:rPr>
          <w:sz w:val="20"/>
          <w:szCs w:val="20"/>
        </w:rPr>
      </w:pPr>
      <w:r>
        <w:rPr>
          <w:sz w:val="20"/>
          <w:szCs w:val="20"/>
        </w:rPr>
        <w:t>The ESG report was prepared in accordance with the Global Reporting Initiativ</w:t>
      </w:r>
      <w:r>
        <w:rPr>
          <w:sz w:val="20"/>
          <w:szCs w:val="20"/>
        </w:rPr>
        <w:t>e, or GRI, standards: Core option issued by the Global Sustainability Standards Board. GRI is an international independent standards organization created to help business, government and other organizations understand and communicate how their operations a</w:t>
      </w:r>
      <w:r>
        <w:rPr>
          <w:sz w:val="20"/>
          <w:szCs w:val="20"/>
        </w:rPr>
        <w:t>ffect issues of global importance, such as human rights, corruption and climate change. In conducting the ESG materiality assessment contained in the report, we also considered many factors, including the United Nations Sustainable Development Goals, or UN</w:t>
      </w:r>
      <w:r>
        <w:rPr>
          <w:sz w:val="20"/>
          <w:szCs w:val="20"/>
        </w:rPr>
        <w:t xml:space="preserve"> SDGs, which were established in 2015 as a blueprint for addressing global societal challenges with measures that promote good health and well-being, clean and affordable energy, decent work and economic growth, climate action, and peace and justice</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 xml:space="preserve">The </w:t>
      </w:r>
      <w:r>
        <w:rPr>
          <w:sz w:val="20"/>
          <w:szCs w:val="20"/>
        </w:rPr>
        <w:t>ESG report may be accessed on our website at www.corecivic.com/esg. The information included in the ESG report is not incorporated by reference into this Annual Report</w:t>
      </w:r>
      <w:r>
        <w:rPr>
          <w:sz w:val="20"/>
          <w:szCs w:val="20"/>
        </w:rPr>
        <w:t>.</w:t>
      </w:r>
    </w:p>
    <w:p w:rsidR="00000000" w:rsidRDefault="006D723D">
      <w:pPr>
        <w:pStyle w:val="a3"/>
        <w:spacing w:before="360" w:beforeAutospacing="0" w:after="0" w:afterAutospacing="0"/>
        <w:jc w:val="both"/>
        <w:rPr>
          <w:sz w:val="20"/>
          <w:szCs w:val="20"/>
        </w:rPr>
      </w:pPr>
      <w:r>
        <w:rPr>
          <w:b/>
          <w:bCs/>
          <w:sz w:val="20"/>
          <w:szCs w:val="20"/>
        </w:rPr>
        <w:t>Hu</w:t>
      </w:r>
      <w:r>
        <w:rPr>
          <w:b/>
          <w:bCs/>
          <w:sz w:val="20"/>
          <w:szCs w:val="20"/>
        </w:rPr>
        <w:t>m</w:t>
      </w:r>
      <w:r>
        <w:rPr>
          <w:b/>
          <w:bCs/>
          <w:sz w:val="20"/>
          <w:szCs w:val="20"/>
        </w:rPr>
        <w:t>an Capita</w:t>
      </w:r>
      <w:r>
        <w:rPr>
          <w:b/>
          <w:bCs/>
          <w:sz w:val="20"/>
          <w:szCs w:val="20"/>
        </w:rPr>
        <w:t>l</w:t>
      </w:r>
    </w:p>
    <w:p w:rsidR="00000000" w:rsidRDefault="006D723D">
      <w:pPr>
        <w:pStyle w:val="a3"/>
        <w:spacing w:before="120" w:beforeAutospacing="0" w:after="0" w:afterAutospacing="0"/>
        <w:jc w:val="both"/>
        <w:rPr>
          <w:sz w:val="20"/>
          <w:szCs w:val="20"/>
        </w:rPr>
      </w:pPr>
      <w:r>
        <w:rPr>
          <w:sz w:val="20"/>
          <w:szCs w:val="20"/>
        </w:rPr>
        <w:t xml:space="preserve">In order to fulfill our mission of providing high quality, compassionate </w:t>
      </w:r>
      <w:r>
        <w:rPr>
          <w:sz w:val="20"/>
          <w:szCs w:val="20"/>
        </w:rPr>
        <w:t>treatment to all those in our care, we strive to attract, develop, and retain a diverse workforce of individuals who are driven by a deep sense of service, high standards of professionalism, and a responsibility to help government partners better the publi</w:t>
      </w:r>
      <w:r>
        <w:rPr>
          <w:sz w:val="20"/>
          <w:szCs w:val="20"/>
        </w:rPr>
        <w:t>c good. The following information outlines the human capital strategies and initiatives designed to address the twin challenges of turnover and retention</w:t>
      </w:r>
      <w:r>
        <w:rPr>
          <w:sz w:val="20"/>
          <w:szCs w:val="20"/>
        </w:rPr>
        <w:t>.</w:t>
      </w:r>
      <w:r>
        <w:rPr>
          <w:sz w:val="20"/>
          <w:szCs w:val="20"/>
        </w:rPr>
        <w:t xml:space="preserve"> </w:t>
      </w:r>
    </w:p>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0" w:beforeAutospacing="0" w:after="0" w:afterAutospacing="0"/>
        <w:rPr>
          <w:sz w:val="20"/>
          <w:szCs w:val="20"/>
        </w:rPr>
      </w:pPr>
      <w:r>
        <w:rPr>
          <w:b/>
          <w:bCs/>
          <w:i/>
          <w:iCs/>
          <w:sz w:val="20"/>
          <w:szCs w:val="20"/>
        </w:rPr>
        <w:t>Demographic</w:t>
      </w:r>
      <w:r>
        <w:rPr>
          <w:b/>
          <w:bCs/>
          <w:i/>
          <w:iCs/>
          <w:sz w:val="20"/>
          <w:szCs w:val="20"/>
        </w:rPr>
        <w:t>s</w:t>
      </w:r>
      <w:r>
        <w:rPr>
          <w:b/>
          <w:bCs/>
          <w:sz w:val="20"/>
          <w:szCs w:val="20"/>
        </w:rPr>
        <w:t xml:space="preserve"> </w:t>
      </w:r>
    </w:p>
    <w:p w:rsidR="00000000" w:rsidRDefault="006D723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64"/>
        <w:gridCol w:w="989"/>
        <w:gridCol w:w="3149"/>
        <w:gridCol w:w="1004"/>
      </w:tblGrid>
      <w:tr w:rsidR="00000000">
        <w:trPr>
          <w:tblCellSpacing w:w="15" w:type="dxa"/>
        </w:trPr>
        <w:tc>
          <w:tcPr>
            <w:tcW w:w="1911" w:type="pct"/>
            <w:vAlign w:val="center"/>
            <w:hideMark/>
          </w:tcPr>
          <w:p w:rsidR="00000000" w:rsidRDefault="006D723D">
            <w:pPr>
              <w:rPr>
                <w:sz w:val="20"/>
                <w:szCs w:val="20"/>
              </w:rPr>
            </w:pPr>
          </w:p>
        </w:tc>
        <w:tc>
          <w:tcPr>
            <w:tcW w:w="588" w:type="pct"/>
            <w:vAlign w:val="center"/>
            <w:hideMark/>
          </w:tcPr>
          <w:p w:rsidR="00000000" w:rsidRDefault="006D723D">
            <w:pPr>
              <w:rPr>
                <w:rFonts w:eastAsia="Times New Roman"/>
                <w:sz w:val="20"/>
                <w:szCs w:val="20"/>
              </w:rPr>
            </w:pPr>
          </w:p>
        </w:tc>
        <w:tc>
          <w:tcPr>
            <w:tcW w:w="1911" w:type="pct"/>
            <w:vAlign w:val="center"/>
            <w:hideMark/>
          </w:tcPr>
          <w:p w:rsidR="00000000" w:rsidRDefault="006D723D">
            <w:pPr>
              <w:rPr>
                <w:rFonts w:eastAsia="Times New Roman"/>
                <w:sz w:val="20"/>
                <w:szCs w:val="20"/>
              </w:rPr>
            </w:pPr>
          </w:p>
        </w:tc>
        <w:tc>
          <w:tcPr>
            <w:tcW w:w="588" w:type="pct"/>
            <w:vAlign w:val="center"/>
            <w:hideMark/>
          </w:tcPr>
          <w:p w:rsidR="00000000" w:rsidRDefault="006D723D">
            <w:pPr>
              <w:rPr>
                <w:rFonts w:eastAsia="Times New Roman"/>
                <w:sz w:val="20"/>
                <w:szCs w:val="20"/>
              </w:rPr>
            </w:pPr>
          </w:p>
        </w:tc>
      </w:tr>
      <w:tr w:rsidR="00000000">
        <w:trPr>
          <w:trHeight w:val="200"/>
          <w:tblCellSpacing w:w="15" w:type="dxa"/>
        </w:trPr>
        <w:tc>
          <w:tcPr>
            <w:tcW w:w="0" w:type="auto"/>
            <w:vAlign w:val="bottom"/>
            <w:hideMark/>
          </w:tcPr>
          <w:p w:rsidR="00000000" w:rsidRDefault="006D723D">
            <w:pPr>
              <w:pStyle w:val="a3"/>
              <w:spacing w:before="0" w:beforeAutospacing="0" w:after="0" w:afterAutospacing="0"/>
              <w:jc w:val="center"/>
              <w:rPr>
                <w:sz w:val="20"/>
                <w:szCs w:val="20"/>
              </w:rPr>
            </w:pPr>
            <w:r>
              <w:rPr>
                <w:b/>
                <w:bCs/>
                <w:sz w:val="20"/>
                <w:szCs w:val="20"/>
              </w:rPr>
              <w:t>Employee</w:t>
            </w:r>
            <w:r>
              <w:rPr>
                <w:b/>
                <w:bCs/>
                <w:sz w:val="20"/>
                <w:szCs w:val="20"/>
              </w:rPr>
              <w:t>s</w:t>
            </w:r>
          </w:p>
        </w:tc>
        <w:tc>
          <w:tcPr>
            <w:tcW w:w="0" w:type="auto"/>
            <w:vAlign w:val="bottom"/>
            <w:hideMark/>
          </w:tcPr>
          <w:p w:rsidR="00000000" w:rsidRDefault="006D723D">
            <w:pPr>
              <w:pStyle w:val="a3"/>
              <w:spacing w:before="0" w:beforeAutospacing="0" w:after="0" w:afterAutospacing="0"/>
              <w:jc w:val="center"/>
              <w:rPr>
                <w:sz w:val="20"/>
                <w:szCs w:val="20"/>
              </w:rPr>
            </w:pPr>
            <w:r>
              <w:rPr>
                <w:b/>
                <w:bCs/>
                <w:sz w:val="20"/>
                <w:szCs w:val="20"/>
              </w:rPr>
              <w:t>202</w:t>
            </w:r>
            <w:r>
              <w:rPr>
                <w:b/>
                <w:bCs/>
                <w:sz w:val="20"/>
                <w:szCs w:val="20"/>
              </w:rPr>
              <w:t>2</w:t>
            </w:r>
          </w:p>
        </w:tc>
        <w:tc>
          <w:tcPr>
            <w:tcW w:w="0" w:type="auto"/>
            <w:vAlign w:val="bottom"/>
            <w:hideMark/>
          </w:tcPr>
          <w:p w:rsidR="00000000" w:rsidRDefault="006D723D">
            <w:pPr>
              <w:pStyle w:val="a3"/>
              <w:spacing w:before="0" w:beforeAutospacing="0" w:after="0" w:afterAutospacing="0"/>
              <w:jc w:val="center"/>
              <w:rPr>
                <w:sz w:val="20"/>
                <w:szCs w:val="20"/>
              </w:rPr>
            </w:pPr>
            <w:r>
              <w:rPr>
                <w:b/>
                <w:bCs/>
                <w:sz w:val="20"/>
                <w:szCs w:val="20"/>
              </w:rPr>
              <w:t>Hirin</w:t>
            </w:r>
            <w:r>
              <w:rPr>
                <w:b/>
                <w:bCs/>
                <w:sz w:val="20"/>
                <w:szCs w:val="20"/>
              </w:rPr>
              <w:t>g</w:t>
            </w:r>
          </w:p>
        </w:tc>
        <w:tc>
          <w:tcPr>
            <w:tcW w:w="0" w:type="auto"/>
            <w:vAlign w:val="bottom"/>
            <w:hideMark/>
          </w:tcPr>
          <w:p w:rsidR="00000000" w:rsidRDefault="006D723D">
            <w:pPr>
              <w:pStyle w:val="a3"/>
              <w:spacing w:before="0" w:beforeAutospacing="0" w:after="0" w:afterAutospacing="0"/>
              <w:jc w:val="center"/>
              <w:rPr>
                <w:sz w:val="20"/>
                <w:szCs w:val="20"/>
              </w:rPr>
            </w:pPr>
            <w:r>
              <w:rPr>
                <w:b/>
                <w:bCs/>
                <w:sz w:val="20"/>
                <w:szCs w:val="20"/>
              </w:rPr>
              <w:t>202</w:t>
            </w:r>
            <w:r>
              <w:rPr>
                <w:b/>
                <w:bCs/>
                <w:sz w:val="20"/>
                <w:szCs w:val="20"/>
              </w:rPr>
              <w:t>2</w:t>
            </w:r>
          </w:p>
        </w:tc>
      </w:tr>
      <w:tr w:rsidR="00000000">
        <w:trPr>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sz w:val="20"/>
                <w:szCs w:val="20"/>
              </w:rPr>
              <w:t>Total Employee</w:t>
            </w:r>
            <w:r>
              <w:rPr>
                <w:sz w:val="20"/>
                <w:szCs w:val="20"/>
              </w:rPr>
              <w:t>s</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10,65</w:t>
            </w:r>
            <w:r>
              <w:rPr>
                <w:sz w:val="20"/>
                <w:szCs w:val="20"/>
              </w:rPr>
              <w:t>3</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Total Hire</w:t>
            </w:r>
            <w:r>
              <w:rPr>
                <w:sz w:val="20"/>
                <w:szCs w:val="20"/>
              </w:rPr>
              <w:t>s</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6,18</w:t>
            </w:r>
            <w:r>
              <w:rPr>
                <w:sz w:val="20"/>
                <w:szCs w:val="20"/>
              </w:rPr>
              <w:t>5</w:t>
            </w:r>
          </w:p>
        </w:tc>
      </w:tr>
      <w:tr w:rsidR="00000000">
        <w:trPr>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sz w:val="20"/>
                <w:szCs w:val="20"/>
              </w:rPr>
              <w:t>   </w:t>
            </w:r>
            <w:r>
              <w:rPr>
                <w:sz w:val="20"/>
                <w:szCs w:val="20"/>
              </w:rPr>
              <w:t>% Femal</w:t>
            </w:r>
            <w:r>
              <w:rPr>
                <w:sz w:val="20"/>
                <w:szCs w:val="20"/>
              </w:rPr>
              <w:t>e</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53</w:t>
            </w: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 Femal</w:t>
            </w:r>
            <w:r>
              <w:rPr>
                <w:sz w:val="20"/>
                <w:szCs w:val="20"/>
              </w:rPr>
              <w:t>e</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55</w:t>
            </w:r>
            <w:r>
              <w:rPr>
                <w:sz w:val="20"/>
                <w:szCs w:val="20"/>
              </w:rPr>
              <w:t>%</w:t>
            </w:r>
          </w:p>
        </w:tc>
      </w:tr>
      <w:tr w:rsidR="00000000">
        <w:trPr>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sz w:val="20"/>
                <w:szCs w:val="20"/>
              </w:rPr>
              <w:t>   % People of Color or Under-</w:t>
            </w:r>
            <w:r>
              <w:rPr>
                <w:sz w:val="20"/>
                <w:szCs w:val="20"/>
              </w:rPr>
              <w:br/>
              <w:t>       represented Minorities (URM</w:t>
            </w:r>
            <w:r>
              <w:rPr>
                <w:sz w:val="20"/>
                <w:szCs w:val="20"/>
              </w:rPr>
              <w:t>)</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60</w:t>
            </w: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 People of Color or Under-</w:t>
            </w:r>
            <w:r>
              <w:rPr>
                <w:sz w:val="20"/>
                <w:szCs w:val="20"/>
              </w:rPr>
              <w:br/>
              <w:t>       represented Minorities (URM</w:t>
            </w:r>
            <w:r>
              <w:rPr>
                <w:sz w:val="20"/>
                <w:szCs w:val="20"/>
              </w:rPr>
              <w:t>)</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62</w:t>
            </w:r>
            <w:r>
              <w:rPr>
                <w:sz w:val="20"/>
                <w:szCs w:val="20"/>
              </w:rPr>
              <w:t>%</w:t>
            </w:r>
          </w:p>
        </w:tc>
      </w:tr>
      <w:tr w:rsidR="00000000">
        <w:trPr>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sz w:val="20"/>
                <w:szCs w:val="20"/>
              </w:rPr>
              <w:t>   % Veteran</w:t>
            </w:r>
            <w:r>
              <w:rPr>
                <w:sz w:val="20"/>
                <w:szCs w:val="20"/>
              </w:rPr>
              <w:t>s</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9</w:t>
            </w: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 Veteran</w:t>
            </w:r>
            <w:r>
              <w:rPr>
                <w:sz w:val="20"/>
                <w:szCs w:val="20"/>
              </w:rPr>
              <w:t>s</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9</w:t>
            </w:r>
            <w:r>
              <w:rPr>
                <w:sz w:val="20"/>
                <w:szCs w:val="20"/>
              </w:rPr>
              <w:t>%</w:t>
            </w:r>
          </w:p>
        </w:tc>
      </w:tr>
      <w:tr w:rsidR="00000000">
        <w:trPr>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sz w:val="20"/>
                <w:szCs w:val="20"/>
              </w:rPr>
              <w:t>   </w:t>
            </w:r>
            <w:r>
              <w:rPr>
                <w:sz w:val="20"/>
                <w:szCs w:val="20"/>
              </w:rPr>
              <w:t>% Facility-level employee</w:t>
            </w:r>
            <w:r>
              <w:rPr>
                <w:sz w:val="20"/>
                <w:szCs w:val="20"/>
              </w:rPr>
              <w:t>s</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94</w:t>
            </w: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 Facility-level employee</w:t>
            </w:r>
            <w:r>
              <w:rPr>
                <w:sz w:val="20"/>
                <w:szCs w:val="20"/>
              </w:rPr>
              <w:t>s</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99</w:t>
            </w:r>
            <w:r>
              <w:rPr>
                <w:sz w:val="20"/>
                <w:szCs w:val="20"/>
              </w:rPr>
              <w:t>%</w:t>
            </w:r>
          </w:p>
        </w:tc>
      </w:tr>
    </w:tbl>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rPr>
          <w:sz w:val="20"/>
          <w:szCs w:val="20"/>
        </w:rPr>
      </w:pPr>
      <w:r>
        <w:rPr>
          <w:b/>
          <w:bCs/>
          <w:i/>
          <w:iCs/>
          <w:sz w:val="20"/>
          <w:szCs w:val="20"/>
        </w:rPr>
        <w:t>Leadership &amp; Learnin</w:t>
      </w:r>
      <w:r>
        <w:rPr>
          <w:b/>
          <w:bCs/>
          <w:i/>
          <w:iCs/>
          <w:sz w:val="20"/>
          <w:szCs w:val="20"/>
        </w:rPr>
        <w:t>g</w:t>
      </w:r>
    </w:p>
    <w:p w:rsidR="00000000" w:rsidRDefault="006D723D">
      <w:pPr>
        <w:pStyle w:val="a3"/>
        <w:spacing w:before="120" w:beforeAutospacing="0" w:after="0" w:afterAutospacing="0"/>
        <w:jc w:val="both"/>
        <w:rPr>
          <w:sz w:val="20"/>
          <w:szCs w:val="20"/>
        </w:rPr>
      </w:pPr>
      <w:r>
        <w:rPr>
          <w:sz w:val="20"/>
          <w:szCs w:val="20"/>
        </w:rPr>
        <w:t>We facilitate annual performance and career development discussions with all employees. These discussions consist of a continuous cycle of goal alignment, individua</w:t>
      </w:r>
      <w:r>
        <w:rPr>
          <w:sz w:val="20"/>
          <w:szCs w:val="20"/>
        </w:rPr>
        <w:t xml:space="preserve">l development planning, and performance and career reviews. In 2022, 93% of all employees received annual performance and career development reviews. To ensure our employees are empowered with feedback and developmental opportunities, we have enhanced our </w:t>
      </w:r>
      <w:r>
        <w:rPr>
          <w:sz w:val="20"/>
          <w:szCs w:val="20"/>
        </w:rPr>
        <w:t>existing technology to better align performance, talent management, and development processes. This technology alignment seeks to create an environment where employees are able to participate in performance and development discussions throughout the year</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 xml:space="preserve">In addition, every year we facilitate talent review discussions to help assess potential and identify developmental opportunities within our leadership pipeline. Through these discussions, we continue to see opportunities for advancement for our existing </w:t>
      </w:r>
      <w:r>
        <w:rPr>
          <w:sz w:val="20"/>
          <w:szCs w:val="20"/>
        </w:rPr>
        <w:t>workforce. Our 2022 talent reviews included all leaders except facility department head</w:t>
      </w:r>
      <w:r>
        <w:rPr>
          <w:sz w:val="20"/>
          <w:szCs w:val="20"/>
        </w:rPr>
        <w:t>s</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3</w:t>
      </w:r>
      <w:r>
        <w:rPr>
          <w:sz w:val="20"/>
          <w:szCs w:val="20"/>
        </w:rPr>
        <w:t>4</w:t>
      </w:r>
    </w:p>
    <w:p w:rsidR="00000000" w:rsidRDefault="006D723D">
      <w:pPr>
        <w:rPr>
          <w:rFonts w:eastAsia="Times New Roman"/>
        </w:rPr>
      </w:pPr>
      <w:r>
        <w:rPr>
          <w:rFonts w:eastAsia="Times New Roman"/>
        </w:rPr>
        <w:pict>
          <v:rect id="_x0000_i1058"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who are only evaluated every other year. Of the 487 leaders assessed, 22% were identified for accelerated development, with 12% classified as "ready now" for advanced leadership responsibilities. Supervisors of the 88%</w:t>
      </w:r>
      <w:r>
        <w:rPr>
          <w:sz w:val="20"/>
          <w:szCs w:val="20"/>
        </w:rPr>
        <w:t xml:space="preserve"> of leaders who were not "ready now" received development resource guides with CoreCivic-specific ideas for experience, exposure, and education opportunities. Supervisors can use these resources to help those employees close the gap between their current p</w:t>
      </w:r>
      <w:r>
        <w:rPr>
          <w:sz w:val="20"/>
          <w:szCs w:val="20"/>
        </w:rPr>
        <w:t>erformance and potential and the requirements for higher levels of responsibility and complexity</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 xml:space="preserve">In 2022, we widened the leadership candidate pipeline across lines of business and put more focus on development needs. The CoreCivic Leadership Experiences </w:t>
      </w:r>
      <w:r>
        <w:rPr>
          <w:sz w:val="20"/>
          <w:szCs w:val="20"/>
        </w:rPr>
        <w:t>and Rotations program, or CLEAR, continues to yield positive results as a development mechanism for top talent. CLEAR is a two-year rotational development program designed to provide individuals identified during our talent management discussions with acce</w:t>
      </w:r>
      <w:r>
        <w:rPr>
          <w:sz w:val="20"/>
          <w:szCs w:val="20"/>
        </w:rPr>
        <w:t>lerated development opportunities through multiple, short-term experiences. The breadth of roles can vary across different career paths and are intended to develop the rising leader's readiness for targeted roles with higher levels of responsibility and co</w:t>
      </w:r>
      <w:r>
        <w:rPr>
          <w:sz w:val="20"/>
          <w:szCs w:val="20"/>
        </w:rPr>
        <w:t>mplexity following successful completion of the program. In 2022, our first CLEAR cohort of three individuals completed their year-one rotations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We recognize the importance of investing in our people. Our management approach to training and development i</w:t>
      </w:r>
      <w:r>
        <w:rPr>
          <w:sz w:val="20"/>
          <w:szCs w:val="20"/>
        </w:rPr>
        <w:t>s overseen by our Chief Human Resources Officer and Managing Director, Enterprise Learning and Development, and is implemented by leaders at our headquarters as well as a network of learning and development managers across our facilities. Our training acti</w:t>
      </w:r>
      <w:r>
        <w:rPr>
          <w:sz w:val="20"/>
          <w:szCs w:val="20"/>
        </w:rPr>
        <w:t>vity and records are managed according to our learning and development policy, and our BOD receives periodic updates on the delivery of strategic training programs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 xml:space="preserve">All CoreCivic employees are eligible to participate in various leadership and operational </w:t>
      </w:r>
      <w:r>
        <w:rPr>
          <w:sz w:val="20"/>
          <w:szCs w:val="20"/>
        </w:rPr>
        <w:t xml:space="preserve">trainings. For example, through CoreCivic University, our employees can refine their current skills as well as learn new, valuable skills. To date, we have graduated 4,365 employees from CoreCivic University programs. For new and existing employees alike, </w:t>
      </w:r>
      <w:r>
        <w:rPr>
          <w:sz w:val="20"/>
          <w:szCs w:val="20"/>
        </w:rPr>
        <w:t>we provide training that meets or exceeds ACA and government partner standards, including an average of 200 hours of pre-service and on-the-job training for new employees. We also require a minimum of 40 hours of annual in-service and specialty training fo</w:t>
      </w:r>
      <w:r>
        <w:rPr>
          <w:sz w:val="20"/>
          <w:szCs w:val="20"/>
        </w:rPr>
        <w:t>r employees in our Safety and Community segments</w:t>
      </w:r>
      <w:r>
        <w:rPr>
          <w:sz w:val="20"/>
          <w:szCs w:val="20"/>
        </w:rPr>
        <w:t>.</w:t>
      </w:r>
    </w:p>
    <w:p w:rsidR="00000000" w:rsidRDefault="006D723D">
      <w:pPr>
        <w:pStyle w:val="a3"/>
        <w:spacing w:before="240" w:beforeAutospacing="0" w:after="0" w:afterAutospacing="0"/>
        <w:jc w:val="both"/>
        <w:rPr>
          <w:sz w:val="20"/>
          <w:szCs w:val="20"/>
        </w:rPr>
      </w:pPr>
      <w:r>
        <w:rPr>
          <w:b/>
          <w:bCs/>
          <w:i/>
          <w:iCs/>
          <w:sz w:val="20"/>
          <w:szCs w:val="20"/>
        </w:rPr>
        <w:t>Culture &amp; Employee Engagemen</w:t>
      </w:r>
      <w:r>
        <w:rPr>
          <w:b/>
          <w:bCs/>
          <w:i/>
          <w:iCs/>
          <w:sz w:val="20"/>
          <w:szCs w:val="20"/>
        </w:rPr>
        <w:t>t</w:t>
      </w:r>
      <w:r>
        <w:rPr>
          <w:b/>
          <w:bCs/>
          <w:i/>
          <w:iCs/>
          <w:sz w:val="20"/>
          <w:szCs w:val="20"/>
        </w:rPr>
        <w:t xml:space="preserve"> </w:t>
      </w:r>
    </w:p>
    <w:p w:rsidR="00000000" w:rsidRDefault="006D723D">
      <w:pPr>
        <w:pStyle w:val="a3"/>
        <w:spacing w:before="120" w:beforeAutospacing="0" w:after="0" w:afterAutospacing="0"/>
        <w:jc w:val="both"/>
        <w:rPr>
          <w:sz w:val="20"/>
          <w:szCs w:val="20"/>
        </w:rPr>
      </w:pPr>
      <w:r>
        <w:rPr>
          <w:sz w:val="20"/>
          <w:szCs w:val="20"/>
        </w:rPr>
        <w:t>People are at the center of what we do. We believe that culture influences employee engagement. Therefore, we seek the perspectives of our employees through our periodic, full</w:t>
      </w:r>
      <w:r>
        <w:rPr>
          <w:sz w:val="20"/>
          <w:szCs w:val="20"/>
        </w:rPr>
        <w:t>-census culture survey to help us enhance our culture and make the workplace more engaging. Across our organization, our leaders have developed more than 400 action items as a result of feedback from our most recent full culture survey</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In 2022, we conduc</w:t>
      </w:r>
      <w:r>
        <w:rPr>
          <w:sz w:val="20"/>
          <w:szCs w:val="20"/>
        </w:rPr>
        <w:t xml:space="preserve">ted a pulse survey at the 20 facilities which had completed 75% or more of their original action plans. We saw improvement in every dimension of culture at those facilities. The top three dimensions where we saw the most improvement at multiple facilities </w:t>
      </w:r>
      <w:r>
        <w:rPr>
          <w:sz w:val="20"/>
          <w:szCs w:val="20"/>
        </w:rPr>
        <w:t>included: Core Values, which increased by 31%; Team Orientation, which increased by 24%; and Empowerment, which increased by 35%</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We know that bringing out the best in our people is the greatest way to recruit, retain, and develop our employees. We contin</w:t>
      </w:r>
      <w:r>
        <w:rPr>
          <w:sz w:val="20"/>
          <w:szCs w:val="20"/>
        </w:rPr>
        <w:t>ually work to create a culture of respect where we value everyone's differences, appreciate individual contributions, and support people so they reach their highest potential</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b/>
          <w:bCs/>
          <w:i/>
          <w:iCs/>
          <w:sz w:val="20"/>
          <w:szCs w:val="20"/>
        </w:rPr>
        <w:t>Diversity, Equity &amp; Inclusio</w:t>
      </w:r>
      <w:r>
        <w:rPr>
          <w:b/>
          <w:bCs/>
          <w:i/>
          <w:iCs/>
          <w:sz w:val="20"/>
          <w:szCs w:val="20"/>
        </w:rPr>
        <w:t>n</w:t>
      </w:r>
      <w:r>
        <w:rPr>
          <w:b/>
          <w:bCs/>
          <w:i/>
          <w:iCs/>
          <w:sz w:val="20"/>
          <w:szCs w:val="20"/>
        </w:rPr>
        <w:t xml:space="preserve"> </w:t>
      </w:r>
    </w:p>
    <w:p w:rsidR="00000000" w:rsidRDefault="006D723D">
      <w:pPr>
        <w:pStyle w:val="a3"/>
        <w:spacing w:before="120" w:beforeAutospacing="0" w:after="0" w:afterAutospacing="0"/>
        <w:jc w:val="both"/>
        <w:rPr>
          <w:sz w:val="20"/>
          <w:szCs w:val="20"/>
        </w:rPr>
      </w:pPr>
      <w:r>
        <w:rPr>
          <w:sz w:val="20"/>
          <w:szCs w:val="20"/>
        </w:rPr>
        <w:t>We are proud of our diverse workforce. We recogn</w:t>
      </w:r>
      <w:r>
        <w:rPr>
          <w:sz w:val="20"/>
          <w:szCs w:val="20"/>
        </w:rPr>
        <w:t xml:space="preserve">ize that employees come from many different backgrounds and that these differences are integral to how we view and experience the world. We believe that DE&amp;I improves safety and security, drives quality, increases employee engagement, and provides greater </w:t>
      </w:r>
      <w:r>
        <w:rPr>
          <w:sz w:val="20"/>
          <w:szCs w:val="20"/>
        </w:rPr>
        <w:t>accountability, all of which allow us to better serve the needs of our government partners and employees</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3</w:t>
      </w:r>
      <w:r>
        <w:rPr>
          <w:sz w:val="20"/>
          <w:szCs w:val="20"/>
        </w:rPr>
        <w:t>5</w:t>
      </w:r>
    </w:p>
    <w:p w:rsidR="00000000" w:rsidRDefault="006D723D">
      <w:pPr>
        <w:rPr>
          <w:rFonts w:eastAsia="Times New Roman"/>
        </w:rPr>
      </w:pPr>
      <w:r>
        <w:rPr>
          <w:rFonts w:eastAsia="Times New Roman"/>
        </w:rPr>
        <w:pict>
          <v:rect id="_x0000_i1059"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Our Chief Human Resources Officer and our Vice President of Talent, Organizational Development, and Diversit</w:t>
      </w:r>
      <w:r>
        <w:rPr>
          <w:sz w:val="20"/>
          <w:szCs w:val="20"/>
        </w:rPr>
        <w:t>y, Equity &amp; Inclusion lead our strategic approach to DE&amp;I. Our DE&amp;I policies prohibit harassment and promote proactive efforts around DE&amp;I initiatives. In accordance with federal contract requirements, we maintain affirmative action plans designed to recru</w:t>
      </w:r>
      <w:r>
        <w:rPr>
          <w:sz w:val="20"/>
          <w:szCs w:val="20"/>
        </w:rPr>
        <w:t>it and advance underrepresented groups, including but not limited to, qualified minorities, women, persons with disabilities, and covered veterans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We believe there are opportunities to further advance underrepresented groups at CoreCivic. We have made si</w:t>
      </w:r>
      <w:r>
        <w:rPr>
          <w:sz w:val="20"/>
          <w:szCs w:val="20"/>
        </w:rPr>
        <w:t>gnificant investments and strides in the development of an executive-endorsed company roadmap for our DE&amp;I intended outcomes and established goals. We have communicated our plans to all leaders, employees, and the BOD. Additionally, we have taken steps tow</w:t>
      </w:r>
      <w:r>
        <w:rPr>
          <w:sz w:val="20"/>
          <w:szCs w:val="20"/>
        </w:rPr>
        <w:t>ards achieving our stated DE&amp;I goals (Create a Common DE&amp;I Language, Create a Culture of Belongingness and Respect, and Create a Diverse Pipeline of Leadership Candidates) through the actions of our established DE&amp;I Advisory Council. This DE&amp;I Advisory Cou</w:t>
      </w:r>
      <w:r>
        <w:rPr>
          <w:sz w:val="20"/>
          <w:szCs w:val="20"/>
        </w:rPr>
        <w:t>ncil includes a select team of CoreCivic employees representing our organization's diversity by gender, ethnicity, tenure, and geography. In 2022, upon the recommendation of th</w:t>
      </w:r>
      <w:r>
        <w:rPr>
          <w:sz w:val="20"/>
          <w:szCs w:val="20"/>
        </w:rPr>
        <w:t>e</w:t>
      </w:r>
      <w:r>
        <w:t xml:space="preserve"> </w:t>
      </w:r>
      <w:r>
        <w:rPr>
          <w:sz w:val="20"/>
          <w:szCs w:val="20"/>
        </w:rPr>
        <w:t>DE&amp;I Advisory Council, we successfully launched pilot BRGs for women, military</w:t>
      </w:r>
      <w:r>
        <w:rPr>
          <w:sz w:val="20"/>
          <w:szCs w:val="20"/>
        </w:rPr>
        <w:t>, and multicultural interests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In collaboration with executives and senior leaders, we continued our focus on measuring the outcomes of our DE&amp;I actions for continuous improvement. In 2022, we had a collective 97% completion rate for two new DE&amp;I e-learni</w:t>
      </w:r>
      <w:r>
        <w:rPr>
          <w:sz w:val="20"/>
          <w:szCs w:val="20"/>
        </w:rPr>
        <w:t>ngs, one tailored for our individual contributors and the other for leaders through Assistant Warden/Director. Seventeen new enterprise leaders completed Conscious Inclusion Training, a key initiative for us last year. We also continue to use a DE&amp;I e-lear</w:t>
      </w:r>
      <w:r>
        <w:rPr>
          <w:sz w:val="20"/>
          <w:szCs w:val="20"/>
        </w:rPr>
        <w:t>ning module as part of our pre-service and in-service curricula. We continued to refine governance for our DE&amp;I strategy with accountability to enterprise executives and the BOD. We also collaborated with the Advancement of Women in Nashville to lead a dis</w:t>
      </w:r>
      <w:r>
        <w:rPr>
          <w:sz w:val="20"/>
          <w:szCs w:val="20"/>
        </w:rPr>
        <w:t>cussion on DE&amp;I for the second year in a row</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b/>
          <w:bCs/>
          <w:i/>
          <w:iCs/>
          <w:sz w:val="20"/>
          <w:szCs w:val="20"/>
        </w:rPr>
        <w:t>Hiring &amp; Sustaining our Workforc</w:t>
      </w:r>
      <w:r>
        <w:rPr>
          <w:b/>
          <w:bCs/>
          <w:i/>
          <w:iCs/>
          <w:sz w:val="20"/>
          <w:szCs w:val="20"/>
        </w:rPr>
        <w:t>e</w:t>
      </w:r>
    </w:p>
    <w:p w:rsidR="00000000" w:rsidRDefault="006D723D">
      <w:pPr>
        <w:pStyle w:val="a3"/>
        <w:spacing w:before="120" w:beforeAutospacing="0" w:after="0" w:afterAutospacing="0"/>
        <w:jc w:val="both"/>
        <w:rPr>
          <w:sz w:val="20"/>
          <w:szCs w:val="20"/>
        </w:rPr>
      </w:pPr>
      <w:r>
        <w:rPr>
          <w:sz w:val="20"/>
          <w:szCs w:val="20"/>
        </w:rPr>
        <w:t>We are the largest employer in many of the areas in which our facilities are located. As such, we are committed to supporting and growing the local communities through our hir</w:t>
      </w:r>
      <w:r>
        <w:rPr>
          <w:sz w:val="20"/>
          <w:szCs w:val="20"/>
        </w:rPr>
        <w:t>ing and outreach efforts. Our long-term tenure in many of the communities we serve has provided stable careers and career growth opportunities to workforces in these areas. We provide equal opportunity employment to all candidates and follow the United Sta</w:t>
      </w:r>
      <w:r>
        <w:rPr>
          <w:sz w:val="20"/>
          <w:szCs w:val="20"/>
        </w:rPr>
        <w:t>tes Department of Labor Office of Federal Contract Compliance Programs equal employment opportunity guidelines for hiring</w:t>
      </w:r>
      <w:r>
        <w:rPr>
          <w:sz w:val="20"/>
          <w:szCs w:val="20"/>
        </w:rPr>
        <w:t>.</w:t>
      </w:r>
    </w:p>
    <w:p w:rsidR="00000000" w:rsidRDefault="006D723D">
      <w:pPr>
        <w:pStyle w:val="a3"/>
        <w:spacing w:before="240" w:beforeAutospacing="0" w:after="180" w:afterAutospacing="0"/>
        <w:jc w:val="both"/>
        <w:rPr>
          <w:sz w:val="20"/>
          <w:szCs w:val="20"/>
        </w:rPr>
      </w:pPr>
      <w:r>
        <w:rPr>
          <w:sz w:val="20"/>
          <w:szCs w:val="20"/>
        </w:rPr>
        <w:t>In 2022, we invested approximately $30.9 million in talent attraction efforts to reach prospective candidates, and we received over 6</w:t>
      </w:r>
      <w:r>
        <w:rPr>
          <w:sz w:val="20"/>
          <w:szCs w:val="20"/>
        </w:rPr>
        <w:t>6,400 job applications, an increase of 30% over 2021. For the past twelve consecutive years, CoreCivic has been recognized as a GI Jobs Military Friendly employer. For 2023, CoreCivic has been notified that we will once again receive awards for Military Fr</w:t>
      </w:r>
      <w:r>
        <w:rPr>
          <w:sz w:val="20"/>
          <w:szCs w:val="20"/>
        </w:rPr>
        <w:t>iendly Employer, Military Friendly Spouse, Military Friendly Brand, and Military Friendly Supplier Diversity Program</w:t>
      </w:r>
      <w:r>
        <w:rPr>
          <w:sz w:val="20"/>
          <w:szCs w:val="20"/>
        </w:rPr>
        <w:t>.</w:t>
      </w:r>
    </w:p>
    <w:p w:rsidR="00000000" w:rsidRDefault="006D723D">
      <w:pPr>
        <w:pStyle w:val="a3"/>
        <w:spacing w:before="240" w:beforeAutospacing="0" w:after="0" w:afterAutospacing="0"/>
        <w:rPr>
          <w:sz w:val="20"/>
          <w:szCs w:val="20"/>
        </w:rPr>
      </w:pPr>
      <w:r>
        <w:rPr>
          <w:b/>
          <w:bCs/>
          <w:i/>
          <w:iCs/>
          <w:sz w:val="20"/>
          <w:szCs w:val="20"/>
        </w:rPr>
        <w:t>Compensation &amp; Benefit</w:t>
      </w:r>
      <w:r>
        <w:rPr>
          <w:b/>
          <w:bCs/>
          <w:i/>
          <w:iCs/>
          <w:sz w:val="20"/>
          <w:szCs w:val="20"/>
        </w:rPr>
        <w:t>s</w:t>
      </w:r>
    </w:p>
    <w:p w:rsidR="00000000" w:rsidRDefault="006D723D">
      <w:pPr>
        <w:pStyle w:val="a3"/>
        <w:spacing w:before="120" w:beforeAutospacing="0" w:after="0" w:afterAutospacing="0"/>
        <w:jc w:val="both"/>
        <w:rPr>
          <w:sz w:val="20"/>
          <w:szCs w:val="20"/>
        </w:rPr>
      </w:pPr>
      <w:r>
        <w:rPr>
          <w:sz w:val="20"/>
          <w:szCs w:val="20"/>
        </w:rPr>
        <w:t>We utilize descriptive and prescriptive Human Capital analytics to align pay with our compensation strategy. We leverage these analytics to act on changing labor market conditions to assist us with our efforts to maintain market competitive wages. In addit</w:t>
      </w:r>
      <w:r>
        <w:rPr>
          <w:sz w:val="20"/>
          <w:szCs w:val="20"/>
        </w:rPr>
        <w:t>ion, we evaluate internal pay equity though the use of job evaluation and market analyses that we then adjust for tenure, experience, location, performance, and other variables that can affect wages. We have experienced labor shortages and wage pressures i</w:t>
      </w:r>
      <w:r>
        <w:rPr>
          <w:sz w:val="20"/>
          <w:szCs w:val="20"/>
        </w:rPr>
        <w:t>n many markets across the country. During the third quarter of 2022, we provided wage increases to nearly all of our facility staff not covered by the McNamara-O'Hara Service Contract Act, which is applicable to our facilities with federal contracts, in or</w:t>
      </w:r>
      <w:r>
        <w:rPr>
          <w:sz w:val="20"/>
          <w:szCs w:val="20"/>
        </w:rPr>
        <w:t>der to remain competitive. Additionally, throughout the year we made out-of-cycle wage adjustments to maintain market competitiveness, often through collaboration with our government partners. In addition, we achieved higher staffing during 2022, as we mad</w:t>
      </w:r>
      <w:r>
        <w:rPr>
          <w:sz w:val="20"/>
          <w:szCs w:val="20"/>
        </w:rPr>
        <w:t>e investments in staffing to prepare us to manage the increased number of residents we anticipate at our facilities once the remaining occupancy restrictions caused by the COVID-19 pandemic are removed. We expect to continue to invest in staffing resources</w:t>
      </w:r>
      <w:r>
        <w:rPr>
          <w:sz w:val="20"/>
          <w:szCs w:val="20"/>
        </w:rPr>
        <w:t xml:space="preserve"> during 2023, which may result in additional compensation and incremental expenses. The benefits of our investments in staffing may not be realized immediately or at all</w:t>
      </w:r>
      <w:r>
        <w:rPr>
          <w:sz w:val="20"/>
          <w:szCs w:val="20"/>
        </w:rPr>
        <w:t>.</w:t>
      </w:r>
    </w:p>
    <w:p w:rsidR="00000000" w:rsidRDefault="006D723D">
      <w:pPr>
        <w:pStyle w:val="a3"/>
        <w:spacing w:before="240" w:beforeAutospacing="0" w:after="0" w:afterAutospacing="0"/>
        <w:jc w:val="center"/>
        <w:rPr>
          <w:sz w:val="20"/>
          <w:szCs w:val="20"/>
        </w:rPr>
      </w:pPr>
      <w:r>
        <w:rPr>
          <w:sz w:val="20"/>
          <w:szCs w:val="20"/>
        </w:rPr>
        <w:t>3</w:t>
      </w:r>
      <w:r>
        <w:rPr>
          <w:sz w:val="20"/>
          <w:szCs w:val="20"/>
        </w:rPr>
        <w:t>6</w:t>
      </w:r>
    </w:p>
    <w:p w:rsidR="00000000" w:rsidRDefault="006D723D">
      <w:pPr>
        <w:rPr>
          <w:rFonts w:eastAsia="Times New Roman"/>
        </w:rPr>
      </w:pPr>
      <w:r>
        <w:rPr>
          <w:rFonts w:eastAsia="Times New Roman"/>
        </w:rPr>
        <w:pict>
          <v:rect id="_x0000_i1060"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We offer multiple medical and wellness benef</w:t>
      </w:r>
      <w:r>
        <w:rPr>
          <w:sz w:val="20"/>
          <w:szCs w:val="20"/>
        </w:rPr>
        <w:t>it plans, dental, vision, and disability income insurance, flexible spending accounts, and life and accidental death and dismemberment insurance. In addition, we provide our employees with paid time off and paid holidays. We also provide retirement benefit</w:t>
      </w:r>
      <w:r>
        <w:rPr>
          <w:sz w:val="20"/>
          <w:szCs w:val="20"/>
        </w:rPr>
        <w:t xml:space="preserve">s to our employees through a 401(k) retirement plan. To be eligible for most benefit plans, employees must be in a full-time position; certain exceptions apply, such as eligibility for the 401(k) retirement plan if the 401(k) retirement plan's service and </w:t>
      </w:r>
      <w:r>
        <w:rPr>
          <w:sz w:val="20"/>
          <w:szCs w:val="20"/>
        </w:rPr>
        <w:t>hour requirements are met or at locations where the McNamara-O'Hara Service Contract Act applies</w:t>
      </w:r>
      <w:r>
        <w:rPr>
          <w:sz w:val="20"/>
          <w:szCs w:val="20"/>
        </w:rPr>
        <w:t>.</w:t>
      </w:r>
    </w:p>
    <w:p w:rsidR="00000000" w:rsidRDefault="006D723D">
      <w:pPr>
        <w:pStyle w:val="a3"/>
        <w:spacing w:before="240" w:beforeAutospacing="0" w:after="0" w:afterAutospacing="0"/>
        <w:rPr>
          <w:sz w:val="20"/>
          <w:szCs w:val="20"/>
        </w:rPr>
      </w:pPr>
      <w:r>
        <w:rPr>
          <w:b/>
          <w:bCs/>
          <w:i/>
          <w:iCs/>
          <w:sz w:val="20"/>
          <w:szCs w:val="20"/>
        </w:rPr>
        <w:t>Labor Relation</w:t>
      </w:r>
      <w:r>
        <w:rPr>
          <w:b/>
          <w:bCs/>
          <w:i/>
          <w:iCs/>
          <w:sz w:val="20"/>
          <w:szCs w:val="20"/>
        </w:rPr>
        <w:t>s</w:t>
      </w:r>
    </w:p>
    <w:p w:rsidR="00000000" w:rsidRDefault="006D723D">
      <w:pPr>
        <w:pStyle w:val="a3"/>
        <w:spacing w:before="120" w:beforeAutospacing="0" w:after="0" w:afterAutospacing="0"/>
        <w:jc w:val="both"/>
        <w:rPr>
          <w:sz w:val="20"/>
          <w:szCs w:val="20"/>
        </w:rPr>
      </w:pPr>
      <w:r>
        <w:rPr>
          <w:sz w:val="20"/>
          <w:szCs w:val="20"/>
        </w:rPr>
        <w:t>As of December 31, 2022, we employed 11,144 full- and part-time employees, including at our transportation and electronic monitoring subsidiar</w:t>
      </w:r>
      <w:r>
        <w:rPr>
          <w:sz w:val="20"/>
          <w:szCs w:val="20"/>
        </w:rPr>
        <w:t>ies, TransCor and Recovery Monitoring Solutions Corporation, respectively. Approximately 1,420 of our employees at eight of our facilities, or approximately 12.7% of our workforce, are represented by labor unions. All of our collective bargaining agreement</w:t>
      </w:r>
      <w:r>
        <w:rPr>
          <w:sz w:val="20"/>
          <w:szCs w:val="20"/>
        </w:rPr>
        <w:t xml:space="preserve">s contain no-strike clauses that bind the unions and the bargaining unit employees. Work stoppages at any of our facilities are exceedingly rare. In the opinion of management, overall employee relations are good. New executive orders, administrative rules </w:t>
      </w:r>
      <w:r>
        <w:rPr>
          <w:sz w:val="20"/>
          <w:szCs w:val="20"/>
        </w:rPr>
        <w:t>and changes in National Labor Relations could increase organizing activity at locations where employees are currently not represented by a labor organization. Increases in organizational activity or any future work stoppages could have an adverse impact on</w:t>
      </w:r>
      <w:r>
        <w:rPr>
          <w:sz w:val="20"/>
          <w:szCs w:val="20"/>
        </w:rPr>
        <w:t xml:space="preserve"> our business, financial condition, or results of operations</w:t>
      </w:r>
      <w:r>
        <w:rPr>
          <w:sz w:val="20"/>
          <w:szCs w:val="20"/>
        </w:rPr>
        <w:t>.</w:t>
      </w:r>
    </w:p>
    <w:p w:rsidR="00000000" w:rsidRDefault="006D723D">
      <w:pPr>
        <w:pStyle w:val="a3"/>
        <w:spacing w:before="240" w:beforeAutospacing="0" w:after="0" w:afterAutospacing="0"/>
        <w:rPr>
          <w:sz w:val="20"/>
          <w:szCs w:val="20"/>
        </w:rPr>
      </w:pPr>
      <w:r>
        <w:rPr>
          <w:b/>
          <w:bCs/>
          <w:i/>
          <w:iCs/>
          <w:sz w:val="20"/>
          <w:szCs w:val="20"/>
        </w:rPr>
        <w:t>Employee Safet</w:t>
      </w:r>
      <w:r>
        <w:rPr>
          <w:b/>
          <w:bCs/>
          <w:i/>
          <w:iCs/>
          <w:sz w:val="20"/>
          <w:szCs w:val="20"/>
        </w:rPr>
        <w:t>y</w:t>
      </w:r>
    </w:p>
    <w:p w:rsidR="00000000" w:rsidRDefault="006D723D">
      <w:pPr>
        <w:pStyle w:val="a3"/>
        <w:spacing w:before="120" w:beforeAutospacing="0" w:after="0" w:afterAutospacing="0"/>
        <w:jc w:val="both"/>
        <w:rPr>
          <w:sz w:val="20"/>
          <w:szCs w:val="20"/>
        </w:rPr>
      </w:pPr>
      <w:r>
        <w:rPr>
          <w:sz w:val="20"/>
          <w:szCs w:val="20"/>
        </w:rPr>
        <w:t>We are committed to bettering the public good by making our facilities and communities safe for our team members, those under our care, and the public. In 2022, our "Team Safety"</w:t>
      </w:r>
      <w:r>
        <w:rPr>
          <w:sz w:val="20"/>
          <w:szCs w:val="20"/>
        </w:rPr>
        <w:t xml:space="preserve"> program continued initiatives to provide a safe environment and safe working conditions as reflected in our policies and procedures. We maintained our COVID-19 pandemic measures to keep our team members, those individuals under our care, and the public sa</w:t>
      </w:r>
      <w:r>
        <w:rPr>
          <w:sz w:val="20"/>
          <w:szCs w:val="20"/>
        </w:rPr>
        <w:t>fe by following guidance from the CDC as well as local health standards. The residential nature of our business presents numerous challenges for frontline employees delivering critical services to our communities and partners. In 2022, we continued initiat</w:t>
      </w:r>
      <w:r>
        <w:rPr>
          <w:sz w:val="20"/>
          <w:szCs w:val="20"/>
        </w:rPr>
        <w:t>ives to provide provisions of PPE, paid leave for COVID-19 related needs above and beyond our existing paid leave benefits, specialized education and training, and advanced technology solutions. The additional paid leave for COVID-19 is supported by our ex</w:t>
      </w:r>
      <w:r>
        <w:rPr>
          <w:sz w:val="20"/>
          <w:szCs w:val="20"/>
        </w:rPr>
        <w:t>isting paid leave benefits in accordance with state and federal guidelines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b/>
          <w:bCs/>
          <w:sz w:val="20"/>
          <w:szCs w:val="20"/>
        </w:rPr>
        <w:t>Government</w:t>
      </w:r>
      <w:r>
        <w:rPr>
          <w:b/>
          <w:bCs/>
          <w:sz w:val="20"/>
          <w:szCs w:val="20"/>
        </w:rPr>
        <w:t xml:space="preserve"> </w:t>
      </w:r>
      <w:r>
        <w:rPr>
          <w:b/>
          <w:bCs/>
          <w:sz w:val="20"/>
          <w:szCs w:val="20"/>
        </w:rPr>
        <w:t>Regulatio</w:t>
      </w:r>
      <w:r>
        <w:rPr>
          <w:b/>
          <w:bCs/>
          <w:sz w:val="20"/>
          <w:szCs w:val="20"/>
        </w:rPr>
        <w:t>n</w:t>
      </w:r>
    </w:p>
    <w:p w:rsidR="00000000" w:rsidRDefault="006D723D">
      <w:pPr>
        <w:pStyle w:val="a3"/>
        <w:spacing w:before="120" w:beforeAutospacing="0" w:after="0" w:afterAutospacing="0"/>
        <w:jc w:val="both"/>
        <w:rPr>
          <w:sz w:val="20"/>
          <w:szCs w:val="20"/>
        </w:rPr>
      </w:pPr>
      <w:r>
        <w:rPr>
          <w:b/>
          <w:bCs/>
          <w:i/>
          <w:iCs/>
          <w:sz w:val="20"/>
          <w:szCs w:val="20"/>
        </w:rPr>
        <w:t>Business Regulation</w:t>
      </w:r>
      <w:r>
        <w:rPr>
          <w:b/>
          <w:bCs/>
          <w:i/>
          <w:iCs/>
          <w:sz w:val="20"/>
          <w:szCs w:val="20"/>
        </w:rPr>
        <w:t>s</w:t>
      </w:r>
    </w:p>
    <w:p w:rsidR="00000000" w:rsidRDefault="006D723D">
      <w:pPr>
        <w:pStyle w:val="a3"/>
        <w:spacing w:before="120" w:beforeAutospacing="0" w:after="0" w:afterAutospacing="0"/>
        <w:jc w:val="both"/>
        <w:rPr>
          <w:sz w:val="20"/>
          <w:szCs w:val="20"/>
        </w:rPr>
      </w:pPr>
      <w:r>
        <w:rPr>
          <w:sz w:val="20"/>
          <w:szCs w:val="20"/>
        </w:rPr>
        <w:t>The industry in which we operate is subject to extensive federal, state, and local regulations, including educational, health care, data</w:t>
      </w:r>
      <w:r>
        <w:rPr>
          <w:sz w:val="20"/>
          <w:szCs w:val="20"/>
        </w:rPr>
        <w:t xml:space="preserve"> privacy and security, transportation, telecommunications, and safety regulations, which are administered by many governmental and regulatory authorities. Some of the regulations are unique to the corrections industry, and some target private, for-profit e</w:t>
      </w:r>
      <w:r>
        <w:rPr>
          <w:sz w:val="20"/>
          <w:szCs w:val="20"/>
        </w:rPr>
        <w:t>ntities by imposing location requirements, compliance requirements, elevated litigation risk and financial penalties only on private, for-profit correction and detention providers. Facility management contracts typically include specific staffing requireme</w:t>
      </w:r>
      <w:r>
        <w:rPr>
          <w:sz w:val="20"/>
          <w:szCs w:val="20"/>
        </w:rPr>
        <w:t>nts, reporting requirements, supervision, and on-site monitoring by representatives of the contracting governmental agencies. Corrections and reentry personnel are customarily required to meet certain training standards and, in some instances, facility per</w:t>
      </w:r>
      <w:r>
        <w:rPr>
          <w:sz w:val="20"/>
          <w:szCs w:val="20"/>
        </w:rPr>
        <w:t>sonnel are required to be licensed and subject to background investigation. Certain jurisdictions also require us to award subcontracts on a competitive basis or to subcontract with certain types of businesses, such as small businesses and businesses owned</w:t>
      </w:r>
      <w:r>
        <w:rPr>
          <w:sz w:val="20"/>
          <w:szCs w:val="20"/>
        </w:rPr>
        <w:t xml:space="preserve"> by members of minority groups. Our facilities are also subject to operational and financial audits by the governmental agencies with which we have contracts. In addition, our technological infrastructure is required by federal agencies to undergo a securi</w:t>
      </w:r>
      <w:r>
        <w:rPr>
          <w:sz w:val="20"/>
          <w:szCs w:val="20"/>
        </w:rPr>
        <w:t>ty compliance audit and provide security logs on a monthly basis. Failure to comply with these regulations and contract requirements can result in material penalties or non-renewal or termination of facility management contracts which could have a material</w:t>
      </w:r>
      <w:r>
        <w:rPr>
          <w:sz w:val="20"/>
          <w:szCs w:val="20"/>
        </w:rPr>
        <w:t xml:space="preserve"> effect on our financial position, results of operations and cash flows, or on our competitive position as a dependable government partner</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3</w:t>
      </w:r>
      <w:r>
        <w:rPr>
          <w:sz w:val="20"/>
          <w:szCs w:val="20"/>
        </w:rPr>
        <w:t>7</w:t>
      </w:r>
    </w:p>
    <w:p w:rsidR="00000000" w:rsidRDefault="006D723D">
      <w:pPr>
        <w:rPr>
          <w:rFonts w:eastAsia="Times New Roman"/>
        </w:rPr>
      </w:pPr>
      <w:r>
        <w:rPr>
          <w:rFonts w:eastAsia="Times New Roman"/>
        </w:rPr>
        <w:pict>
          <v:rect id="_x0000_i1061"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360" w:beforeAutospacing="0" w:after="0" w:afterAutospacing="0"/>
        <w:jc w:val="both"/>
        <w:rPr>
          <w:sz w:val="20"/>
          <w:szCs w:val="20"/>
        </w:rPr>
      </w:pPr>
      <w:r>
        <w:rPr>
          <w:b/>
          <w:bCs/>
          <w:i/>
          <w:iCs/>
          <w:sz w:val="20"/>
          <w:szCs w:val="20"/>
        </w:rPr>
        <w:t>Environmental Matter</w:t>
      </w:r>
      <w:r>
        <w:rPr>
          <w:b/>
          <w:bCs/>
          <w:i/>
          <w:iCs/>
          <w:sz w:val="20"/>
          <w:szCs w:val="20"/>
        </w:rPr>
        <w:t>s</w:t>
      </w:r>
    </w:p>
    <w:p w:rsidR="00000000" w:rsidRDefault="006D723D">
      <w:pPr>
        <w:pStyle w:val="a3"/>
        <w:spacing w:before="120" w:beforeAutospacing="0" w:after="0" w:afterAutospacing="0"/>
        <w:jc w:val="both"/>
        <w:rPr>
          <w:sz w:val="20"/>
          <w:szCs w:val="20"/>
        </w:rPr>
      </w:pPr>
      <w:r>
        <w:rPr>
          <w:sz w:val="20"/>
          <w:szCs w:val="20"/>
        </w:rPr>
        <w:t>Under various federal, state, and local environmenta</w:t>
      </w:r>
      <w:r>
        <w:rPr>
          <w:sz w:val="20"/>
          <w:szCs w:val="20"/>
        </w:rPr>
        <w:t xml:space="preserve">l laws, ordinances and regulations, a current or previous owner or operator of real property may be liable for the costs of removal or remediation of hazardous or toxic substances on, under, or in such property. Such laws often impose liability whether or </w:t>
      </w:r>
      <w:r>
        <w:rPr>
          <w:sz w:val="20"/>
          <w:szCs w:val="20"/>
        </w:rPr>
        <w:t>not the owner or operator knew of, or was responsible for, the presence of such hazardous or toxic substances. As an owner of real estate assets and as the result of our operation and management of correctional, detention, and residential reentry facilitie</w:t>
      </w:r>
      <w:r>
        <w:rPr>
          <w:sz w:val="20"/>
          <w:szCs w:val="20"/>
        </w:rPr>
        <w:t>s, we have been, and continue to be, subject to these laws, ordinances, and regulations. Phase I environmental assessments have been obtained on substantially all of the properties we currently own. We are not aware of any environmental matters that are ex</w:t>
      </w:r>
      <w:r>
        <w:rPr>
          <w:sz w:val="20"/>
          <w:szCs w:val="20"/>
        </w:rPr>
        <w:t xml:space="preserve">pected to materially affect our financial condition or results of operations; however, if such matters are detected in the future, the costs of complying with environmental laws could have a material effect on our financial position, results of operations </w:t>
      </w:r>
      <w:r>
        <w:rPr>
          <w:sz w:val="20"/>
          <w:szCs w:val="20"/>
        </w:rPr>
        <w:t>and cash flows, or on our competitive position as a dependable government partner</w:t>
      </w:r>
      <w:r>
        <w:rPr>
          <w:sz w:val="20"/>
          <w:szCs w:val="20"/>
        </w:rPr>
        <w:t>.</w:t>
      </w:r>
    </w:p>
    <w:p w:rsidR="00000000" w:rsidRDefault="006D723D">
      <w:pPr>
        <w:pStyle w:val="a3"/>
        <w:spacing w:before="360" w:beforeAutospacing="0" w:after="0" w:afterAutospacing="0"/>
        <w:jc w:val="both"/>
        <w:rPr>
          <w:sz w:val="20"/>
          <w:szCs w:val="20"/>
        </w:rPr>
      </w:pPr>
      <w:r>
        <w:rPr>
          <w:b/>
          <w:bCs/>
          <w:i/>
          <w:iCs/>
          <w:sz w:val="20"/>
          <w:szCs w:val="20"/>
        </w:rPr>
        <w:t>Privacy and Security Requirement</w:t>
      </w:r>
      <w:r>
        <w:rPr>
          <w:b/>
          <w:bCs/>
          <w:i/>
          <w:iCs/>
          <w:sz w:val="20"/>
          <w:szCs w:val="20"/>
        </w:rPr>
        <w:t>s</w:t>
      </w:r>
    </w:p>
    <w:p w:rsidR="00000000" w:rsidRDefault="006D723D">
      <w:pPr>
        <w:pStyle w:val="a3"/>
        <w:spacing w:before="120" w:beforeAutospacing="0" w:after="0" w:afterAutospacing="0"/>
        <w:jc w:val="both"/>
        <w:rPr>
          <w:sz w:val="20"/>
          <w:szCs w:val="20"/>
        </w:rPr>
      </w:pPr>
      <w:r>
        <w:rPr>
          <w:sz w:val="20"/>
          <w:szCs w:val="20"/>
        </w:rPr>
        <w:t>The Health Insurance Portability and Accountability Act of 1996, as amended, or HIPAA, and implementing regulations, require covered entiti</w:t>
      </w:r>
      <w:r>
        <w:rPr>
          <w:sz w:val="20"/>
          <w:szCs w:val="20"/>
        </w:rPr>
        <w:t>es, which include health plans, most health care providers, and health clearinghouses, to protect the privacy and security of individually identifiable health information, known as “protected health information.” The regulations also provide for individual</w:t>
      </w:r>
      <w:r>
        <w:rPr>
          <w:sz w:val="20"/>
          <w:szCs w:val="20"/>
        </w:rPr>
        <w:t xml:space="preserve"> rights related to understanding and controlling how health information is used or disclosed. Certain provisions of the privacy and security regulations apply directly to entities that handle protected health information on behalf of covered entities, know</w:t>
      </w:r>
      <w:r>
        <w:rPr>
          <w:sz w:val="20"/>
          <w:szCs w:val="20"/>
        </w:rPr>
        <w:t>n as business associates. Covered entities may be subject to penalties as a result of a business associate violating HIPAA, if the business associate is found to be an agent of a covered entity</w:t>
      </w:r>
      <w:r>
        <w:rPr>
          <w:sz w:val="20"/>
          <w:szCs w:val="20"/>
        </w:rPr>
        <w:t>.</w:t>
      </w:r>
    </w:p>
    <w:p w:rsidR="00000000" w:rsidRDefault="006D723D">
      <w:pPr>
        <w:pStyle w:val="a3"/>
        <w:spacing w:before="240" w:beforeAutospacing="0" w:after="0" w:afterAutospacing="0"/>
        <w:jc w:val="both"/>
        <w:rPr>
          <w:sz w:val="20"/>
          <w:szCs w:val="20"/>
        </w:rPr>
      </w:pPr>
      <w:r>
        <w:rPr>
          <w:sz w:val="20"/>
          <w:szCs w:val="20"/>
        </w:rPr>
        <w:t>Covered entities must notify affected individuals of breaches</w:t>
      </w:r>
      <w:r>
        <w:rPr>
          <w:sz w:val="20"/>
          <w:szCs w:val="20"/>
        </w:rPr>
        <w:t xml:space="preserve"> of unsecured protected health information without unreasonable delay, and such delay is not to exceed 60 days from discovery of the breach by the covered entity or its agents. They must also notify the U.S. Department of Health and Human Services, or DHHS</w:t>
      </w:r>
      <w:r>
        <w:rPr>
          <w:sz w:val="20"/>
          <w:szCs w:val="20"/>
        </w:rPr>
        <w:t>, and, in certain situations involving large breaches, the media. All non-permitted uses or disclosures of unsecured protected health information are presumed to be breaches unless the covered entity or business associate establishes that there is a low pr</w:t>
      </w:r>
      <w:r>
        <w:rPr>
          <w:sz w:val="20"/>
          <w:szCs w:val="20"/>
        </w:rPr>
        <w:t>obability the information has been compromised</w:t>
      </w:r>
      <w:r>
        <w:rPr>
          <w:sz w:val="20"/>
          <w:szCs w:val="20"/>
        </w:rPr>
        <w:t>.</w:t>
      </w:r>
    </w:p>
    <w:p w:rsidR="00000000" w:rsidRDefault="006D723D">
      <w:pPr>
        <w:pStyle w:val="a3"/>
        <w:spacing w:before="240" w:beforeAutospacing="0" w:after="0" w:afterAutospacing="0"/>
        <w:jc w:val="both"/>
        <w:rPr>
          <w:sz w:val="20"/>
          <w:szCs w:val="20"/>
        </w:rPr>
      </w:pPr>
      <w:r>
        <w:rPr>
          <w:sz w:val="20"/>
          <w:szCs w:val="20"/>
        </w:rPr>
        <w:t>The DHHS may impose significant civil and criminal penalties for violations of the HIPAA regulations. The civil penalties are adjusted annually based on updates to the consumer price index. In addition, state</w:t>
      </w:r>
      <w:r>
        <w:rPr>
          <w:sz w:val="20"/>
          <w:szCs w:val="20"/>
        </w:rPr>
        <w:t xml:space="preserve"> attorneys general are authorized to bring civil actions for injunctions or damages in response to violations that threaten the privacy of state residents. The costs associated with compliance and defending against privacy and security related claims or en</w:t>
      </w:r>
      <w:r>
        <w:rPr>
          <w:sz w:val="20"/>
          <w:szCs w:val="20"/>
        </w:rPr>
        <w:t>forcement actions may be substantial</w:t>
      </w:r>
      <w:r>
        <w:rPr>
          <w:sz w:val="20"/>
          <w:szCs w:val="20"/>
        </w:rPr>
        <w:t>.</w:t>
      </w:r>
    </w:p>
    <w:p w:rsidR="00000000" w:rsidRDefault="006D723D">
      <w:pPr>
        <w:pStyle w:val="a3"/>
        <w:spacing w:before="240" w:beforeAutospacing="0" w:after="0" w:afterAutospacing="0"/>
        <w:jc w:val="both"/>
        <w:rPr>
          <w:sz w:val="20"/>
          <w:szCs w:val="20"/>
        </w:rPr>
      </w:pPr>
      <w:r>
        <w:rPr>
          <w:sz w:val="20"/>
          <w:szCs w:val="20"/>
        </w:rPr>
        <w:t>Additionally, we are subject to complex and evolving U.S. federal and state privacy laws and regulations, including those pertaining to the processing of personal data that may not be preempted by the HIPAA privacy and security standards, such as the Calif</w:t>
      </w:r>
      <w:r>
        <w:rPr>
          <w:sz w:val="20"/>
          <w:szCs w:val="20"/>
        </w:rPr>
        <w:t>ornia Consumer Privacy Act, or CCPA, and the California Privacy Rights Act, or CPRA, which amended CCPA and became fully effective in January 2023 and other state privacy laws in Colorado and Virginia (each of which go into effect in 2023). Many of these p</w:t>
      </w:r>
      <w:r>
        <w:rPr>
          <w:sz w:val="20"/>
          <w:szCs w:val="20"/>
        </w:rPr>
        <w:t>rivacy laws and regulations and related interpretations are subject to uncertain application, interpretation or enforcement standards that could result in claims against us, extensive changes to our business practices, systems and operational processes, in</w:t>
      </w:r>
      <w:r>
        <w:rPr>
          <w:sz w:val="20"/>
          <w:szCs w:val="20"/>
        </w:rPr>
        <w:t>cluding our data processing and security systems, penalties, increased operating costs or other impacts on our businesses. Many of the recently enacted laws often provide for civil penalties for violations, as well as a private right of action for data bre</w:t>
      </w:r>
      <w:r>
        <w:rPr>
          <w:sz w:val="20"/>
          <w:szCs w:val="20"/>
        </w:rPr>
        <w:t>aches and non-compliance with such laws that may increase data breach litigation and/or our susceptibility to fines or penalties from a regulator. Further, while we are using internal and external resources to monitor compliance with and to continue to mod</w:t>
      </w:r>
      <w:r>
        <w:rPr>
          <w:sz w:val="20"/>
          <w:szCs w:val="20"/>
        </w:rPr>
        <w:t>ify our data processing practices and policies in order to comply with evolving privacy laws, relevant regulatory authorities could disagree with our interpretation of these laws and determine that our data processing practices fail to address all the requ</w:t>
      </w:r>
      <w:r>
        <w:rPr>
          <w:sz w:val="20"/>
          <w:szCs w:val="20"/>
        </w:rPr>
        <w:t>irements of certain new laws, which could subject us to penalties and/or litigation. In addition, there is no assurance that our security controls over personal data, the training of employees and vendors on data privacy and data security, and the policies</w:t>
      </w:r>
      <w:r>
        <w:rPr>
          <w:sz w:val="20"/>
          <w:szCs w:val="20"/>
        </w:rPr>
        <w:t xml:space="preserve">, procedures and practices we implemented or may implement in the future will prevent the improper disclosure of personal data. Improper use or disclosure of personal data in violation of HIPAA, the CCPA, CPRA and/or of other personal data protection laws </w:t>
      </w:r>
      <w:r>
        <w:rPr>
          <w:sz w:val="20"/>
          <w:szCs w:val="20"/>
        </w:rPr>
        <w:t>could harm our reputation, cause loss of consumer confidence, subject us to government enforcement actions (including fines), or result in private litigatio</w:t>
      </w:r>
      <w:r>
        <w:rPr>
          <w:sz w:val="20"/>
          <w:szCs w:val="20"/>
        </w:rPr>
        <w:t>n</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3</w:t>
      </w:r>
      <w:r>
        <w:rPr>
          <w:sz w:val="20"/>
          <w:szCs w:val="20"/>
        </w:rPr>
        <w:t>8</w:t>
      </w:r>
    </w:p>
    <w:p w:rsidR="00000000" w:rsidRDefault="006D723D">
      <w:pPr>
        <w:rPr>
          <w:rFonts w:eastAsia="Times New Roman"/>
        </w:rPr>
      </w:pPr>
      <w:r>
        <w:rPr>
          <w:rFonts w:eastAsia="Times New Roman"/>
        </w:rPr>
        <w:pict>
          <v:rect id="_x0000_i1062"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against us, which could result in loss of revenue, incre</w:t>
      </w:r>
      <w:r>
        <w:rPr>
          <w:sz w:val="20"/>
          <w:szCs w:val="20"/>
        </w:rPr>
        <w:t>ased costs, liability for monetary damages, fines and/or criminal prosecution, all of which could have a material effect on our financial position, results of operations and cash flows, or on our competitive position as a dependable government partner</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He</w:t>
      </w:r>
      <w:r>
        <w:rPr>
          <w:sz w:val="20"/>
          <w:szCs w:val="20"/>
        </w:rPr>
        <w:t>althcare providers and certain other industry participants are also subject to a growing number of requirements intended to promote the interoperability and exchange of patient health information. Health care providers and certain other entities are subjec</w:t>
      </w:r>
      <w:r>
        <w:rPr>
          <w:sz w:val="20"/>
          <w:szCs w:val="20"/>
        </w:rPr>
        <w:t>t to information blocking restrictions pursuant to the 2</w:t>
      </w:r>
      <w:r>
        <w:rPr>
          <w:sz w:val="20"/>
          <w:szCs w:val="20"/>
        </w:rPr>
        <w:t>1</w:t>
      </w:r>
      <w:r>
        <w:rPr>
          <w:sz w:val="13"/>
          <w:szCs w:val="13"/>
          <w:vertAlign w:val="superscript"/>
        </w:rPr>
        <w:t>s</w:t>
      </w:r>
      <w:r>
        <w:rPr>
          <w:sz w:val="13"/>
          <w:szCs w:val="13"/>
          <w:vertAlign w:val="superscript"/>
        </w:rPr>
        <w:t>t</w:t>
      </w:r>
      <w:r>
        <w:rPr>
          <w:sz w:val="20"/>
          <w:szCs w:val="20"/>
        </w:rPr>
        <w:t xml:space="preserve"> Century Cures Act that prohibit practices that are likely to interfere with the access, exchange or use of electronic health information, except as required by law or specified by DHHS as a reason</w:t>
      </w:r>
      <w:r>
        <w:rPr>
          <w:sz w:val="20"/>
          <w:szCs w:val="20"/>
        </w:rPr>
        <w:t>able and necessary activity. Violations may result in penalties or other disincentives</w:t>
      </w:r>
      <w:r>
        <w:rPr>
          <w:sz w:val="20"/>
          <w:szCs w:val="20"/>
        </w:rPr>
        <w:t>.</w:t>
      </w:r>
    </w:p>
    <w:p w:rsidR="00000000" w:rsidRDefault="006D723D">
      <w:pPr>
        <w:pStyle w:val="a3"/>
        <w:spacing w:before="360" w:beforeAutospacing="0" w:after="0" w:afterAutospacing="0"/>
        <w:rPr>
          <w:sz w:val="20"/>
          <w:szCs w:val="20"/>
        </w:rPr>
      </w:pPr>
      <w:r>
        <w:rPr>
          <w:b/>
          <w:bCs/>
          <w:sz w:val="20"/>
          <w:szCs w:val="20"/>
        </w:rPr>
        <w:t>Insu</w:t>
      </w:r>
      <w:r>
        <w:rPr>
          <w:b/>
          <w:bCs/>
          <w:sz w:val="20"/>
          <w:szCs w:val="20"/>
        </w:rPr>
        <w:t>r</w:t>
      </w:r>
      <w:r>
        <w:rPr>
          <w:b/>
          <w:bCs/>
          <w:sz w:val="20"/>
          <w:szCs w:val="20"/>
        </w:rPr>
        <w:t>anc</w:t>
      </w:r>
      <w:r>
        <w:rPr>
          <w:b/>
          <w:bCs/>
          <w:sz w:val="20"/>
          <w:szCs w:val="20"/>
        </w:rPr>
        <w:t>e</w:t>
      </w:r>
    </w:p>
    <w:p w:rsidR="00000000" w:rsidRDefault="006D723D">
      <w:pPr>
        <w:pStyle w:val="a3"/>
        <w:spacing w:before="120" w:beforeAutospacing="0" w:after="0" w:afterAutospacing="0"/>
        <w:jc w:val="both"/>
        <w:rPr>
          <w:sz w:val="20"/>
          <w:szCs w:val="20"/>
        </w:rPr>
      </w:pPr>
      <w:r>
        <w:rPr>
          <w:sz w:val="20"/>
          <w:szCs w:val="20"/>
        </w:rPr>
        <w:t>We maintain general liability insurance for all the facilities we operate, as well as insurance in amounts we deem adequate to cover property and casualty ris</w:t>
      </w:r>
      <w:r>
        <w:rPr>
          <w:sz w:val="20"/>
          <w:szCs w:val="20"/>
        </w:rPr>
        <w:t>ks, employee health, workers' compensation, automobile liability, cybersecurity, and directors and officers liability. In addition, each of our leases with third parties provides that the lessee will maintain insurance on each leased property under the les</w:t>
      </w:r>
      <w:r>
        <w:rPr>
          <w:sz w:val="20"/>
          <w:szCs w:val="20"/>
        </w:rPr>
        <w:t>see's insurance policies providing for the following coverages: (i) fire, vandalism, and malicious mischief, extended coverage perils, and all physical loss perils; (ii) comprehensive general public liability (including personal injury and property damage)</w:t>
      </w:r>
      <w:r>
        <w:rPr>
          <w:sz w:val="20"/>
          <w:szCs w:val="20"/>
        </w:rPr>
        <w:t>; and (iii) workers' compensation. Under each of these leases, we have the right to periodically review our lessees' insurance coverage and provide input with respect thereto</w:t>
      </w:r>
      <w:r>
        <w:rPr>
          <w:sz w:val="20"/>
          <w:szCs w:val="20"/>
        </w:rPr>
        <w:t>.</w:t>
      </w:r>
    </w:p>
    <w:p w:rsidR="00000000" w:rsidRDefault="006D723D">
      <w:pPr>
        <w:pStyle w:val="a3"/>
        <w:spacing w:before="240" w:beforeAutospacing="0" w:after="0" w:afterAutospacing="0"/>
        <w:jc w:val="both"/>
        <w:rPr>
          <w:sz w:val="20"/>
          <w:szCs w:val="20"/>
        </w:rPr>
      </w:pPr>
      <w:r>
        <w:rPr>
          <w:sz w:val="20"/>
          <w:szCs w:val="20"/>
        </w:rPr>
        <w:t xml:space="preserve">Each of our management contracts and the statutes of certain states require the </w:t>
      </w:r>
      <w:r>
        <w:rPr>
          <w:sz w:val="20"/>
          <w:szCs w:val="20"/>
        </w:rPr>
        <w:t>maintenance of insurance with some states imposing insurance requirements specific to private corrections and detention providers as a requirement for continued operation. Because we are significantly self-insured for employee health, workers' compensation</w:t>
      </w:r>
      <w:r>
        <w:rPr>
          <w:sz w:val="20"/>
          <w:szCs w:val="20"/>
        </w:rPr>
        <w:t>, automobile liability, and general liability insurance, the amount of our insurance expense is dependent on claims experience, and our ability to control our claims experience. Our insurance policies contain various deductibles and stop-loss amounts inten</w:t>
      </w:r>
      <w:r>
        <w:rPr>
          <w:sz w:val="20"/>
          <w:szCs w:val="20"/>
        </w:rPr>
        <w:t xml:space="preserve">ded to limit our exposure for individually significant occurrences. However, the nature of our self-insurance policies provides little protection for deterioration in overall claims experience or an increase in medical costs. We are continually developing </w:t>
      </w:r>
      <w:r>
        <w:rPr>
          <w:sz w:val="20"/>
          <w:szCs w:val="20"/>
        </w:rPr>
        <w:t>strategies to improve the management of our future loss claims but can provide no assurance that these strategies will be successful. However, unanticipated additional insurance expenses resulting from adverse claims experience or an increasing cost enviro</w:t>
      </w:r>
      <w:r>
        <w:rPr>
          <w:sz w:val="20"/>
          <w:szCs w:val="20"/>
        </w:rPr>
        <w:t>nment for general liability and other types of insurance could adversely impact our results of operations and cash flows</w:t>
      </w:r>
      <w:r>
        <w:rPr>
          <w:sz w:val="20"/>
          <w:szCs w:val="20"/>
        </w:rPr>
        <w:t>.</w:t>
      </w:r>
      <w:r>
        <w:rPr>
          <w:sz w:val="20"/>
          <w:szCs w:val="20"/>
        </w:rPr>
        <w:t xml:space="preserve"> </w:t>
      </w:r>
    </w:p>
    <w:p w:rsidR="00000000" w:rsidRDefault="006D723D">
      <w:pPr>
        <w:pStyle w:val="a3"/>
        <w:spacing w:before="360" w:beforeAutospacing="0" w:after="0" w:afterAutospacing="0"/>
        <w:rPr>
          <w:sz w:val="20"/>
          <w:szCs w:val="20"/>
        </w:rPr>
      </w:pPr>
      <w:r>
        <w:rPr>
          <w:b/>
          <w:bCs/>
          <w:sz w:val="20"/>
          <w:szCs w:val="20"/>
        </w:rPr>
        <w:t>Compe</w:t>
      </w:r>
      <w:r>
        <w:rPr>
          <w:b/>
          <w:bCs/>
          <w:sz w:val="20"/>
          <w:szCs w:val="20"/>
        </w:rPr>
        <w:t>t</w:t>
      </w:r>
      <w:r>
        <w:rPr>
          <w:b/>
          <w:bCs/>
          <w:sz w:val="20"/>
          <w:szCs w:val="20"/>
        </w:rPr>
        <w:t>itio</w:t>
      </w:r>
      <w:r>
        <w:rPr>
          <w:b/>
          <w:bCs/>
          <w:sz w:val="20"/>
          <w:szCs w:val="20"/>
        </w:rPr>
        <w:t>n</w:t>
      </w:r>
    </w:p>
    <w:p w:rsidR="00000000" w:rsidRDefault="006D723D">
      <w:pPr>
        <w:pStyle w:val="a3"/>
        <w:spacing w:before="120" w:beforeAutospacing="0" w:after="0" w:afterAutospacing="0"/>
        <w:jc w:val="both"/>
        <w:rPr>
          <w:sz w:val="20"/>
          <w:szCs w:val="20"/>
        </w:rPr>
      </w:pPr>
      <w:r>
        <w:rPr>
          <w:sz w:val="20"/>
          <w:szCs w:val="20"/>
        </w:rPr>
        <w:t>The correctional, detention, and residential reentry facilities we own, operate, or manage, as well as those facilities w</w:t>
      </w:r>
      <w:r>
        <w:rPr>
          <w:sz w:val="20"/>
          <w:szCs w:val="20"/>
        </w:rPr>
        <w:t>e own but are managed by other operators, are subject to competition for offenders and residents from other private operators. We compete primarily on the basis of bed availability, cost, the quality and range of services offered, our experience in the des</w:t>
      </w:r>
      <w:r>
        <w:rPr>
          <w:sz w:val="20"/>
          <w:szCs w:val="20"/>
        </w:rPr>
        <w:t>ign, construction, and management of correctional and detention facilities, and our reputation. We compete with government agencies that are responsible for correctional, detention, and residential reentry facilities and a number of companies, including, b</w:t>
      </w:r>
      <w:r>
        <w:rPr>
          <w:sz w:val="20"/>
          <w:szCs w:val="20"/>
        </w:rPr>
        <w:t>ut not limited to, The GEO Group, Inc. and Management and Training Corporation. We also compete in some markets with small local companies that may have a better knowledge of the local conditions and may be better able to gain political and public acceptan</w:t>
      </w:r>
      <w:r>
        <w:rPr>
          <w:sz w:val="20"/>
          <w:szCs w:val="20"/>
        </w:rPr>
        <w:t>ce. Other potential competitors may in the future enter into businesses competitive with us without a substantial capital investment or prior experience. We may also compete in the future for acquisitions and new development projects with companies that ha</w:t>
      </w:r>
      <w:r>
        <w:rPr>
          <w:sz w:val="20"/>
          <w:szCs w:val="20"/>
        </w:rPr>
        <w:t>ve more financial resources than we have or those willing to accept lower returns than we are willing to accept. Competition by other companies may adversely affect occupancy at our facilities, which could have an adverse impact on the operating revenue of</w:t>
      </w:r>
      <w:r>
        <w:rPr>
          <w:sz w:val="20"/>
          <w:szCs w:val="20"/>
        </w:rPr>
        <w:t xml:space="preserve"> our facilities. In addition, revenue derived from our facilities will be affected by a number of factors, including the demand for beds, general economic conditions, and the age of the general population</w:t>
      </w:r>
      <w:r>
        <w:rPr>
          <w:sz w:val="20"/>
          <w:szCs w:val="20"/>
        </w:rPr>
        <w:t>.</w:t>
      </w:r>
    </w:p>
    <w:p w:rsidR="00000000" w:rsidRDefault="006D723D">
      <w:pPr>
        <w:pStyle w:val="a3"/>
        <w:spacing w:before="240" w:beforeAutospacing="0" w:after="0" w:afterAutospacing="0"/>
        <w:jc w:val="center"/>
        <w:rPr>
          <w:sz w:val="20"/>
          <w:szCs w:val="20"/>
        </w:rPr>
      </w:pPr>
      <w:r>
        <w:rPr>
          <w:sz w:val="20"/>
          <w:szCs w:val="20"/>
        </w:rPr>
        <w:t>3</w:t>
      </w:r>
      <w:r>
        <w:rPr>
          <w:sz w:val="20"/>
          <w:szCs w:val="20"/>
        </w:rPr>
        <w:t>9</w:t>
      </w:r>
    </w:p>
    <w:p w:rsidR="00000000" w:rsidRDefault="006D723D">
      <w:pPr>
        <w:rPr>
          <w:rFonts w:eastAsia="Times New Roman"/>
        </w:rPr>
      </w:pPr>
      <w:r>
        <w:rPr>
          <w:rFonts w:eastAsia="Times New Roman"/>
        </w:rPr>
        <w:pict>
          <v:rect id="_x0000_i1063"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360" w:beforeAutospacing="0" w:after="0" w:afterAutospacing="0"/>
        <w:ind w:hanging="1220"/>
        <w:jc w:val="both"/>
        <w:rPr>
          <w:sz w:val="20"/>
          <w:szCs w:val="20"/>
        </w:rPr>
      </w:pPr>
      <w:r>
        <w:rPr>
          <w:b/>
          <w:bCs/>
          <w:sz w:val="20"/>
          <w:szCs w:val="20"/>
        </w:rPr>
        <w:t>ITEM 1A.</w:t>
      </w:r>
      <w:r>
        <w:rPr>
          <w:b/>
          <w:bCs/>
          <w:sz w:val="20"/>
          <w:szCs w:val="20"/>
        </w:rPr>
        <w:t xml:space="preserve"> R</w:t>
      </w:r>
      <w:r>
        <w:rPr>
          <w:b/>
          <w:bCs/>
          <w:sz w:val="20"/>
          <w:szCs w:val="20"/>
        </w:rPr>
        <w:t>I</w:t>
      </w:r>
      <w:r>
        <w:rPr>
          <w:b/>
          <w:bCs/>
          <w:sz w:val="20"/>
          <w:szCs w:val="20"/>
        </w:rPr>
        <w:t>SK FACTORS</w:t>
      </w:r>
      <w:r>
        <w:rPr>
          <w:b/>
          <w:bCs/>
          <w:sz w:val="20"/>
          <w:szCs w:val="20"/>
        </w:rPr>
        <w:t>.</w:t>
      </w:r>
    </w:p>
    <w:p w:rsidR="00000000" w:rsidRDefault="006D723D">
      <w:pPr>
        <w:pStyle w:val="a3"/>
        <w:spacing w:before="120" w:beforeAutospacing="0" w:after="0" w:afterAutospacing="0"/>
        <w:jc w:val="both"/>
        <w:rPr>
          <w:sz w:val="20"/>
          <w:szCs w:val="20"/>
        </w:rPr>
      </w:pPr>
      <w:r>
        <w:rPr>
          <w:sz w:val="20"/>
          <w:szCs w:val="20"/>
        </w:rPr>
        <w:t xml:space="preserve">As the owner and operator of correctional, detention, and residential reentry facilities, we are subject to certain risks and uncertainties associated with, among other things, the corrections and detention industry and pending or threatened litigation in </w:t>
      </w:r>
      <w:r>
        <w:rPr>
          <w:sz w:val="20"/>
          <w:szCs w:val="20"/>
        </w:rPr>
        <w:t>which we are involved. In addition, we are also currently subject to risks associated with real estate ownership, our indebtedness, as well as our qualification as a REIT for federal income tax purposes for those years we elected REIT status. The risks and</w:t>
      </w:r>
      <w:r>
        <w:rPr>
          <w:sz w:val="20"/>
          <w:szCs w:val="20"/>
        </w:rPr>
        <w:t xml:space="preserve"> uncertainties set forth below could cause our actual results to differ materially from those indicated in the forward-looking statements contained herein and elsewhere. The risks described below are not the only risks we face. Additional risks and uncerta</w:t>
      </w:r>
      <w:r>
        <w:rPr>
          <w:sz w:val="20"/>
          <w:szCs w:val="20"/>
        </w:rPr>
        <w:t>inties not currently known to us or those we currently deem to be immaterial may also materially and adversely affect our business operations. Any of the following risks could materially adversely affect our business, financial condition, or results of ope</w:t>
      </w:r>
      <w:r>
        <w:rPr>
          <w:sz w:val="20"/>
          <w:szCs w:val="20"/>
        </w:rPr>
        <w:t>rations</w:t>
      </w:r>
      <w:r>
        <w:rPr>
          <w:sz w:val="20"/>
          <w:szCs w:val="20"/>
        </w:rPr>
        <w:t>.</w:t>
      </w:r>
    </w:p>
    <w:p w:rsidR="00000000" w:rsidRDefault="006D723D">
      <w:pPr>
        <w:pStyle w:val="a3"/>
        <w:spacing w:before="360" w:beforeAutospacing="0" w:after="0" w:afterAutospacing="0"/>
        <w:jc w:val="both"/>
        <w:rPr>
          <w:sz w:val="20"/>
          <w:szCs w:val="20"/>
        </w:rPr>
      </w:pPr>
      <w:r>
        <w:rPr>
          <w:b/>
          <w:bCs/>
          <w:sz w:val="20"/>
          <w:szCs w:val="20"/>
        </w:rPr>
        <w:t>Risks Related to Our Business and Industr</w:t>
      </w:r>
      <w:r>
        <w:rPr>
          <w:b/>
          <w:bCs/>
          <w:sz w:val="20"/>
          <w:szCs w:val="20"/>
        </w:rPr>
        <w:t>y</w:t>
      </w:r>
    </w:p>
    <w:p w:rsidR="00000000" w:rsidRDefault="006D723D">
      <w:pPr>
        <w:pStyle w:val="a3"/>
        <w:spacing w:before="240" w:beforeAutospacing="0" w:after="0" w:afterAutospacing="0"/>
        <w:jc w:val="both"/>
        <w:rPr>
          <w:sz w:val="20"/>
          <w:szCs w:val="20"/>
        </w:rPr>
      </w:pPr>
      <w:r>
        <w:rPr>
          <w:b/>
          <w:bCs/>
          <w:i/>
          <w:iCs/>
          <w:sz w:val="20"/>
          <w:szCs w:val="20"/>
        </w:rPr>
        <w:t xml:space="preserve">Resistance to privatization of correctional, detention, and residential reentry facilities, and negative publicity regarding inmate disturbances or perceived poor operational performance, could result in </w:t>
      </w:r>
      <w:r>
        <w:rPr>
          <w:b/>
          <w:bCs/>
          <w:i/>
          <w:iCs/>
          <w:sz w:val="20"/>
          <w:szCs w:val="20"/>
        </w:rPr>
        <w:t>our inability to obtain new contracts, the loss of existing contracts, or other unforeseen consequences</w:t>
      </w:r>
      <w:r>
        <w:rPr>
          <w:b/>
          <w:bCs/>
          <w:i/>
          <w:iCs/>
          <w:sz w:val="20"/>
          <w:szCs w:val="20"/>
        </w:rPr>
        <w:t>.</w:t>
      </w:r>
      <w:r>
        <w:rPr>
          <w:b/>
          <w:bCs/>
          <w:sz w:val="20"/>
          <w:szCs w:val="20"/>
        </w:rPr>
        <w:t xml:space="preserve"> </w:t>
      </w:r>
    </w:p>
    <w:p w:rsidR="00000000" w:rsidRDefault="006D723D">
      <w:pPr>
        <w:pStyle w:val="a3"/>
        <w:spacing w:before="120" w:beforeAutospacing="0" w:after="0" w:afterAutospacing="0"/>
        <w:jc w:val="both"/>
        <w:rPr>
          <w:sz w:val="20"/>
          <w:szCs w:val="20"/>
        </w:rPr>
      </w:pPr>
      <w:r>
        <w:rPr>
          <w:sz w:val="20"/>
          <w:szCs w:val="20"/>
        </w:rPr>
        <w:t>Privatization of correctional, detention, and residential reentry facilities has not achieved complete acceptance by either government agencies or the</w:t>
      </w:r>
      <w:r>
        <w:rPr>
          <w:sz w:val="20"/>
          <w:szCs w:val="20"/>
        </w:rPr>
        <w:t xml:space="preserve"> public at large. The operation of correctional, detention, and residential reentry facilities by private entities has encountered resistance from certain groups, such as labor unions, prison reform organizations, activists and others that believe that cor</w:t>
      </w:r>
      <w:r>
        <w:rPr>
          <w:sz w:val="20"/>
          <w:szCs w:val="20"/>
        </w:rPr>
        <w:t>rectional, detention, and residential reentry facilities should only be operated by governmental agencies. Any political platform or promise, governmental agency report, investigation or inquiry, public statement by any governmental agency, policy or legis</w:t>
      </w:r>
      <w:r>
        <w:rPr>
          <w:sz w:val="20"/>
          <w:szCs w:val="20"/>
        </w:rPr>
        <w:t>lative change, or other similar occurrence or action, that seeks to, or purports to, prohibit, eliminate, or otherwise restrict or limit in any way, the federal government’s (or any state or local government’s) ability to contract with private operators of</w:t>
      </w:r>
      <w:r>
        <w:rPr>
          <w:sz w:val="20"/>
          <w:szCs w:val="20"/>
        </w:rPr>
        <w:t xml:space="preserve"> correctional, detention, and residential reentry facilities, could negatively impact our growth and our ability to renew or maintain existing contracts or to obtain new contracts and could have a material adverse effect on our business, financial conditio</w:t>
      </w:r>
      <w:r>
        <w:rPr>
          <w:sz w:val="20"/>
          <w:szCs w:val="20"/>
        </w:rPr>
        <w:t>n, results of operations or the market price of our common stock</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On January 26, 2021, President Biden issued the Private Prison EO. The Private Prison EO directs the Attorney General to not renew DOJ contracts with privately operated criminal detention facilities. Two agencies of the DOJ, the BOP and the USMS utilize ou</w:t>
      </w:r>
      <w:r>
        <w:rPr>
          <w:sz w:val="20"/>
          <w:szCs w:val="20"/>
        </w:rPr>
        <w:t>r services. The BOP houses inmates who have been convicted, and the USMS is generally responsible for detainees who are awaiting trial. The BOP has experienced a steady decline in inmate populations over the last decade, a trend that was accelerated by the</w:t>
      </w:r>
      <w:r>
        <w:rPr>
          <w:sz w:val="20"/>
          <w:szCs w:val="20"/>
        </w:rPr>
        <w:t xml:space="preserve"> COVID-19 pandemic. Our remaining prison contract with the BOP at the 1,978-bed McRae Correctional Facility expired on November 30, 2022 and was not renewed. This contract accounted for 2% ($37.8 million) and 2% ($40.6 million) of our total revenue for the</w:t>
      </w:r>
      <w:r>
        <w:rPr>
          <w:sz w:val="20"/>
          <w:szCs w:val="20"/>
        </w:rPr>
        <w:t xml:space="preserve"> twelve months ended December 31, 2022 and 2021, respectively. We completed the sale of the McRae facility in August 2022 to the Georgia Building Authority, and entered into an agreement to lease the facility through November 2022 to allow us to fulfill ou</w:t>
      </w:r>
      <w:r>
        <w:rPr>
          <w:sz w:val="20"/>
          <w:szCs w:val="20"/>
        </w:rPr>
        <w:t>r obligations to the BOP. The Private Prison EO only applies to agencies that are part of the DOJ, which includes the BOP and USMS. ICE facilities are not covered by the Private Prison EO, as ICE is an agency of the DHS, not the DOJ, although it is possibl</w:t>
      </w:r>
      <w:r>
        <w:rPr>
          <w:sz w:val="20"/>
          <w:szCs w:val="20"/>
        </w:rPr>
        <w:t xml:space="preserve">e that the federal government could choose to take similar action on ICE facilities in the future. For the twelve months ended December 31, 2022, USMS and ICE accounted for 22% ($403.9 million) and 29% ($527.3 million), respectively, of our total revenue. </w:t>
      </w:r>
      <w:r>
        <w:rPr>
          <w:sz w:val="20"/>
          <w:szCs w:val="20"/>
        </w:rPr>
        <w:t>For the twelve months ended December 31, 2021, USMS and ICE accounted for 23% ($433.6 million) and 30% ($552.2 million), respectively, of our total revenue</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4</w:t>
      </w:r>
      <w:r>
        <w:rPr>
          <w:sz w:val="20"/>
          <w:szCs w:val="20"/>
        </w:rPr>
        <w:t>0</w:t>
      </w:r>
    </w:p>
    <w:p w:rsidR="00000000" w:rsidRDefault="006D723D">
      <w:pPr>
        <w:rPr>
          <w:rFonts w:eastAsia="Times New Roman"/>
        </w:rPr>
      </w:pPr>
      <w:r>
        <w:rPr>
          <w:rFonts w:eastAsia="Times New Roman"/>
        </w:rPr>
        <w:pict>
          <v:rect id="_x0000_i1064"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Unlike the BOP, the USMS does not own detention capacity</w:t>
      </w:r>
      <w:r>
        <w:rPr>
          <w:sz w:val="20"/>
          <w:szCs w:val="20"/>
        </w:rPr>
        <w:t xml:space="preserve"> and relies on the private sector, along with various government agencies, for its detainee population. The USMS has been advised by the Office of the Deputy Attorney General not to renew existing contracts, or enter into new contracts for private detentio</w:t>
      </w:r>
      <w:r>
        <w:rPr>
          <w:sz w:val="20"/>
          <w:szCs w:val="20"/>
        </w:rPr>
        <w:t>n facilities. During the second quarter of 2021, we had direct contracts with the USMS for up to 992 detainees at our 2016-bed Northeast Ohio Correctional Center and for up to approximately 96 detainees at our 664-bed Crossroads Correctional Center in Mont</w:t>
      </w:r>
      <w:r>
        <w:rPr>
          <w:sz w:val="20"/>
          <w:szCs w:val="20"/>
        </w:rPr>
        <w:t xml:space="preserve">ana that expired and were not renewed. On May 28, 2021, we entered into a new three-year contract with Mahoning County, Ohio to utilize up to 990 beds at our Northeast Ohio Correctional Center. Mahoning County is responsible for County inmates and federal </w:t>
      </w:r>
      <w:r>
        <w:rPr>
          <w:sz w:val="20"/>
          <w:szCs w:val="20"/>
        </w:rPr>
        <w:t>detainees, including USMS detainees, and the County is using the Northeast Ohio facility to address its population needs. During the third quarter of 2021, we entered into an amendment to the contract with the state of Montana to utilize all of the capacit</w:t>
      </w:r>
      <w:r>
        <w:rPr>
          <w:sz w:val="20"/>
          <w:szCs w:val="20"/>
        </w:rPr>
        <w:t>y at the Crossroads Correctional Center, including the space vacated by the USMS, and to extend the existing contract to June 30, 2023, with additional renewal options by mutual agreement through August 31, 2029. We had a direct contract with the USMS to c</w:t>
      </w:r>
      <w:r>
        <w:rPr>
          <w:sz w:val="20"/>
          <w:szCs w:val="20"/>
        </w:rPr>
        <w:t>are for detainees at our 600-bed West Tennessee Detention Facility that expired on September 30, 2021 and was not renewed. In addition, we had a direct contract with the USMS to care for detainees at our 1,033-bed Midwest Regional Reception Center (formerl</w:t>
      </w:r>
      <w:r>
        <w:rPr>
          <w:sz w:val="20"/>
          <w:szCs w:val="20"/>
        </w:rPr>
        <w:t>y known as the Leavenworth Detention Center) that expired on December 31, 2021 and was not renewed. We are actively marketing the West Tennessee Detention Facility and the Midwest Regional Reception Center to other government agencies. However, we can prov</w:t>
      </w:r>
      <w:r>
        <w:rPr>
          <w:sz w:val="20"/>
          <w:szCs w:val="20"/>
        </w:rPr>
        <w:t>ide no assurance that we will be able to reach agreements for the utilization of these facilities</w:t>
      </w:r>
      <w:r>
        <w:rPr>
          <w:sz w:val="20"/>
          <w:szCs w:val="20"/>
        </w:rPr>
        <w:t>.</w:t>
      </w:r>
    </w:p>
    <w:p w:rsidR="00000000" w:rsidRDefault="006D723D">
      <w:pPr>
        <w:pStyle w:val="a3"/>
        <w:spacing w:before="240" w:beforeAutospacing="0" w:after="0" w:afterAutospacing="0"/>
        <w:jc w:val="both"/>
        <w:rPr>
          <w:sz w:val="20"/>
          <w:szCs w:val="20"/>
        </w:rPr>
      </w:pPr>
      <w:r>
        <w:rPr>
          <w:sz w:val="20"/>
          <w:szCs w:val="20"/>
        </w:rPr>
        <w:t>We currently have</w:t>
      </w:r>
      <w:r>
        <w:rPr>
          <w:sz w:val="20"/>
          <w:szCs w:val="20"/>
        </w:rPr>
        <w:t xml:space="preserve"> </w:t>
      </w:r>
      <w:r>
        <w:rPr>
          <w:sz w:val="20"/>
          <w:szCs w:val="20"/>
        </w:rPr>
        <w:t>two detention facilities that have direct contracts with the USMS</w:t>
      </w:r>
      <w:r>
        <w:rPr>
          <w:sz w:val="20"/>
          <w:szCs w:val="20"/>
        </w:rPr>
        <w:t xml:space="preserve"> </w:t>
      </w:r>
      <w:r>
        <w:rPr>
          <w:sz w:val="20"/>
          <w:szCs w:val="20"/>
        </w:rPr>
        <w:t>that expire in September 2023 and September 2025. The facility with the c</w:t>
      </w:r>
      <w:r>
        <w:rPr>
          <w:sz w:val="20"/>
          <w:szCs w:val="20"/>
        </w:rPr>
        <w:t>ontract expiring in September 2023 services a substantial number of USMS detainees that we believe will be challenging to replace, and we intend to work with the USMS to enable it to continue to fulfill its mission.</w:t>
      </w:r>
      <w:r>
        <w:rPr>
          <w:sz w:val="20"/>
          <w:szCs w:val="20"/>
        </w:rPr>
        <w:t xml:space="preserve"> </w:t>
      </w:r>
      <w:r>
        <w:rPr>
          <w:sz w:val="20"/>
          <w:szCs w:val="20"/>
        </w:rPr>
        <w:t>However, we can provide no assurance tha</w:t>
      </w:r>
      <w:r>
        <w:rPr>
          <w:sz w:val="20"/>
          <w:szCs w:val="20"/>
        </w:rPr>
        <w:t>t this contract will be renewed or replaced upon expiration. It is too early to predict the outcome of the expiration of the contract scheduled to expire in September 2025, and future developments could occur prior to the scheduled expiration dat</w:t>
      </w:r>
      <w:r>
        <w:rPr>
          <w:sz w:val="20"/>
          <w:szCs w:val="20"/>
        </w:rPr>
        <w:t>e</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Immigr</w:t>
      </w:r>
      <w:r>
        <w:rPr>
          <w:sz w:val="20"/>
          <w:szCs w:val="20"/>
        </w:rPr>
        <w:t>ation reform laws are currently a focus for legislators and politicians at the federal, state, and local level. Legislation has been passed in California and New Jersey, where we operate detention facilities, as well as Maryland, Illinois, Oregon and Washi</w:t>
      </w:r>
      <w:r>
        <w:rPr>
          <w:sz w:val="20"/>
          <w:szCs w:val="20"/>
        </w:rPr>
        <w:t>ngton, that would prohibit state agencies from contracting to detain immigrants in civil cases with ICE and private detention facilities. In addition, legislation has been proposed in New Mexico and Colorado, where we own facilities, that would prohibit st</w:t>
      </w:r>
      <w:r>
        <w:rPr>
          <w:sz w:val="20"/>
          <w:szCs w:val="20"/>
        </w:rPr>
        <w:t>ate agencies from contracting to detain immigrants in civil cases with ICE and private detention facilities. During 2022, the Ninth Circuit Court of Appeals ruled that California's legislation violated the Supremacy Clause of the U.S. Constitution, which g</w:t>
      </w:r>
      <w:r>
        <w:rPr>
          <w:sz w:val="20"/>
          <w:szCs w:val="20"/>
        </w:rPr>
        <w:t>enerally prohibits states from interfering with the enforcement of federal laws and the federal government's exercise of its constitutional powers</w:t>
      </w:r>
      <w:r>
        <w:rPr>
          <w:sz w:val="20"/>
          <w:szCs w:val="20"/>
        </w:rPr>
        <w:t>.</w:t>
      </w:r>
    </w:p>
    <w:p w:rsidR="00000000" w:rsidRDefault="006D723D">
      <w:pPr>
        <w:pStyle w:val="a3"/>
        <w:spacing w:before="240" w:beforeAutospacing="0" w:after="0" w:afterAutospacing="0"/>
        <w:jc w:val="both"/>
        <w:rPr>
          <w:sz w:val="20"/>
          <w:szCs w:val="20"/>
        </w:rPr>
      </w:pPr>
      <w:r>
        <w:rPr>
          <w:sz w:val="20"/>
          <w:szCs w:val="20"/>
        </w:rPr>
        <w:t>In addition, negative publicity regarding offenders escaping, rioting or any other disturbances at our facil</w:t>
      </w:r>
      <w:r>
        <w:rPr>
          <w:sz w:val="20"/>
          <w:szCs w:val="20"/>
        </w:rPr>
        <w:t>ities or any public perception of poor operational performance at our facilities, contract non-compliance, or other conditions (including COVID-19 infections or other disease outbreaks at the facilities we own and manage) at a privately managed facility ma</w:t>
      </w:r>
      <w:r>
        <w:rPr>
          <w:sz w:val="20"/>
          <w:szCs w:val="20"/>
        </w:rPr>
        <w:t>y result in adverse publicity to us and the private corrections industry in general and could negatively impact our growth and our ability to renew or maintain existing contracts or to obtain new contracts, which could have an adverse impact on our busines</w:t>
      </w:r>
      <w:r>
        <w:rPr>
          <w:sz w:val="20"/>
          <w:szCs w:val="20"/>
        </w:rPr>
        <w:t>s, financial condition, results of operations or the market price of our common stock</w:t>
      </w:r>
      <w:r>
        <w:rPr>
          <w:sz w:val="20"/>
          <w:szCs w:val="20"/>
        </w:rPr>
        <w:t>.</w:t>
      </w:r>
    </w:p>
    <w:p w:rsidR="00000000" w:rsidRDefault="006D723D">
      <w:pPr>
        <w:pStyle w:val="a3"/>
        <w:spacing w:before="240" w:beforeAutospacing="0" w:after="0" w:afterAutospacing="0"/>
        <w:jc w:val="center"/>
        <w:rPr>
          <w:sz w:val="20"/>
          <w:szCs w:val="20"/>
        </w:rPr>
      </w:pPr>
      <w:r>
        <w:rPr>
          <w:sz w:val="20"/>
          <w:szCs w:val="20"/>
        </w:rPr>
        <w:t>4</w:t>
      </w:r>
      <w:r>
        <w:rPr>
          <w:sz w:val="20"/>
          <w:szCs w:val="20"/>
        </w:rPr>
        <w:t>1</w:t>
      </w:r>
    </w:p>
    <w:p w:rsidR="00000000" w:rsidRDefault="006D723D">
      <w:pPr>
        <w:rPr>
          <w:rFonts w:eastAsia="Times New Roman"/>
        </w:rPr>
      </w:pPr>
      <w:r>
        <w:rPr>
          <w:rFonts w:eastAsia="Times New Roman"/>
        </w:rPr>
        <w:pict>
          <v:rect id="_x0000_i1065"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360" w:beforeAutospacing="0" w:after="0" w:afterAutospacing="0"/>
        <w:jc w:val="both"/>
        <w:rPr>
          <w:sz w:val="20"/>
          <w:szCs w:val="20"/>
        </w:rPr>
      </w:pPr>
      <w:r>
        <w:rPr>
          <w:b/>
          <w:bCs/>
          <w:i/>
          <w:iCs/>
          <w:sz w:val="20"/>
          <w:szCs w:val="20"/>
        </w:rPr>
        <w:t>We are subject to fluctuations in occupancy levels, and a decrease in occupancy levels could cause a decrease in revenues and pr</w:t>
      </w:r>
      <w:r>
        <w:rPr>
          <w:b/>
          <w:bCs/>
          <w:i/>
          <w:iCs/>
          <w:sz w:val="20"/>
          <w:szCs w:val="20"/>
        </w:rPr>
        <w:t>ofitability</w:t>
      </w:r>
      <w:r>
        <w:rPr>
          <w:b/>
          <w:bCs/>
          <w:i/>
          <w:iCs/>
          <w:sz w:val="20"/>
          <w:szCs w:val="20"/>
        </w:rPr>
        <w:t>.</w:t>
      </w:r>
      <w:r>
        <w:rPr>
          <w:sz w:val="20"/>
          <w:szCs w:val="20"/>
        </w:rPr>
        <w:t xml:space="preserve"> </w:t>
      </w:r>
    </w:p>
    <w:p w:rsidR="00000000" w:rsidRDefault="006D723D">
      <w:pPr>
        <w:pStyle w:val="a3"/>
        <w:spacing w:before="120" w:beforeAutospacing="0" w:after="0" w:afterAutospacing="0"/>
        <w:jc w:val="both"/>
        <w:rPr>
          <w:sz w:val="20"/>
          <w:szCs w:val="20"/>
        </w:rPr>
      </w:pPr>
      <w:r>
        <w:rPr>
          <w:sz w:val="20"/>
          <w:szCs w:val="20"/>
        </w:rPr>
        <w:t>While a substantial portion of our cost structure is fixed, a substantial portion of our revenue is generated under facility ownership and management contracts that specify per diem payments based upon daily or minimum guaranteed occupancy le</w:t>
      </w:r>
      <w:r>
        <w:rPr>
          <w:sz w:val="20"/>
          <w:szCs w:val="20"/>
        </w:rPr>
        <w:t xml:space="preserve">vels. We are dependent upon the governmental agencies with which we have contracts to provide offenders for facilities we operate. We cannot control occupancy levels at the facilities we operate. We do not lobby or advocate for any policies that determine </w:t>
      </w:r>
      <w:r>
        <w:rPr>
          <w:sz w:val="20"/>
          <w:szCs w:val="20"/>
        </w:rPr>
        <w:t>the basis for or duration of an individual's incarceration or detention. Under a per diem rate structure, a decrease in our occupancy rates could cause a decrease in revenue and profitability. For the years 2022, 2021, and 2020, the average compensated occ</w:t>
      </w:r>
      <w:r>
        <w:rPr>
          <w:sz w:val="20"/>
          <w:szCs w:val="20"/>
        </w:rPr>
        <w:t>upancy of our facilities, based on rated capacity, was 70%, 72%, and 74%, respectively, for all of the facilities we operated, exclusive of facilities that are leased to third-party operators where our revenue is generally not based on daily occupancy. Occ</w:t>
      </w:r>
      <w:r>
        <w:rPr>
          <w:sz w:val="20"/>
          <w:szCs w:val="20"/>
        </w:rPr>
        <w:t xml:space="preserve">upancy rates may, however, decrease below these levels in the future, including as a result of COVID-19 and Title 42. When combined with relatively fixed costs for operating each facility, a decrease in occupancy levels could have an adverse impact on our </w:t>
      </w:r>
      <w:r>
        <w:rPr>
          <w:sz w:val="20"/>
          <w:szCs w:val="20"/>
        </w:rPr>
        <w:t>profitability</w:t>
      </w:r>
      <w:r>
        <w:rPr>
          <w:sz w:val="20"/>
          <w:szCs w:val="20"/>
        </w:rPr>
        <w:t>.</w:t>
      </w:r>
    </w:p>
    <w:p w:rsidR="00000000" w:rsidRDefault="006D723D">
      <w:pPr>
        <w:pStyle w:val="a3"/>
        <w:spacing w:before="360" w:beforeAutospacing="0" w:after="0" w:afterAutospacing="0"/>
        <w:jc w:val="both"/>
        <w:rPr>
          <w:sz w:val="20"/>
          <w:szCs w:val="20"/>
        </w:rPr>
      </w:pPr>
      <w:r>
        <w:rPr>
          <w:b/>
          <w:bCs/>
          <w:i/>
          <w:iCs/>
          <w:sz w:val="20"/>
          <w:szCs w:val="20"/>
        </w:rPr>
        <w:t>We are dependent on government appropriations, and our results of operations may be negatively affected by governmental budgetary challenges or government shutdowns</w:t>
      </w:r>
      <w:r>
        <w:rPr>
          <w:b/>
          <w:bCs/>
          <w:i/>
          <w:iCs/>
          <w:sz w:val="20"/>
          <w:szCs w:val="20"/>
        </w:rPr>
        <w:t>.</w:t>
      </w:r>
      <w:r>
        <w:rPr>
          <w:b/>
          <w:bCs/>
          <w:sz w:val="20"/>
          <w:szCs w:val="20"/>
        </w:rPr>
        <w:t xml:space="preserve"> </w:t>
      </w:r>
    </w:p>
    <w:p w:rsidR="00000000" w:rsidRDefault="006D723D">
      <w:pPr>
        <w:pStyle w:val="a3"/>
        <w:spacing w:before="120" w:beforeAutospacing="0" w:after="0" w:afterAutospacing="0"/>
        <w:jc w:val="both"/>
        <w:rPr>
          <w:sz w:val="20"/>
          <w:szCs w:val="20"/>
        </w:rPr>
      </w:pPr>
      <w:r>
        <w:rPr>
          <w:sz w:val="20"/>
          <w:szCs w:val="20"/>
        </w:rPr>
        <w:t>Our cash flow is subject to the receipt of sufficient funding of, and time</w:t>
      </w:r>
      <w:r>
        <w:rPr>
          <w:sz w:val="20"/>
          <w:szCs w:val="20"/>
        </w:rPr>
        <w:t>ly payment by, contracting governmental entities. If the appropriate governmental agency does not receive sufficient appropriations to cover its contractual obligations, it may terminate our contract or delay or reduce payment to us. While we have historic</w:t>
      </w:r>
      <w:r>
        <w:rPr>
          <w:sz w:val="20"/>
          <w:szCs w:val="20"/>
        </w:rPr>
        <w:t xml:space="preserve">ally been required to continue to perform under our government contracts during government shutdowns, we are generally not paid until the government reopens. Any delays in payment, or the termination of a contract, could have an adverse effect on our cash </w:t>
      </w:r>
      <w:r>
        <w:rPr>
          <w:sz w:val="20"/>
          <w:szCs w:val="20"/>
        </w:rPr>
        <w:t>flow and financial condition. In addition, federal, state and local governments are constantly under pressure to control additional spending or reduce current levels of spending. In prior years, these pressures have been compounded by economic downturns. A</w:t>
      </w:r>
      <w:r>
        <w:rPr>
          <w:sz w:val="20"/>
          <w:szCs w:val="20"/>
        </w:rPr>
        <w:t>ccordingly, we have been requested and may be requested in the future to reduce our existing per diem contract rates or forego prospective increases to those rates. Further, our government partners could reduce offender population levels in facilities we o</w:t>
      </w:r>
      <w:r>
        <w:rPr>
          <w:sz w:val="20"/>
          <w:szCs w:val="20"/>
        </w:rPr>
        <w:t>wn or manage to contain their correctional costs. In addition, it may become more difficult to renew our existing contracts on favorable terms or otherwise</w:t>
      </w:r>
      <w:r>
        <w:rPr>
          <w:sz w:val="20"/>
          <w:szCs w:val="20"/>
        </w:rPr>
        <w:t>.</w:t>
      </w:r>
      <w:r>
        <w:rPr>
          <w:sz w:val="20"/>
          <w:szCs w:val="20"/>
        </w:rPr>
        <w:t xml:space="preserve"> </w:t>
      </w:r>
    </w:p>
    <w:p w:rsidR="00000000" w:rsidRDefault="006D723D">
      <w:pPr>
        <w:pStyle w:val="a3"/>
        <w:spacing w:before="360" w:beforeAutospacing="0" w:after="0" w:afterAutospacing="0"/>
        <w:rPr>
          <w:sz w:val="20"/>
          <w:szCs w:val="20"/>
        </w:rPr>
      </w:pPr>
      <w:r>
        <w:rPr>
          <w:b/>
          <w:bCs/>
          <w:i/>
          <w:iCs/>
          <w:sz w:val="20"/>
          <w:szCs w:val="20"/>
        </w:rPr>
        <w:t>Efforts to reduce the U.S. federal deficit could adversely affect our liquidity, results of operat</w:t>
      </w:r>
      <w:r>
        <w:rPr>
          <w:b/>
          <w:bCs/>
          <w:i/>
          <w:iCs/>
          <w:sz w:val="20"/>
          <w:szCs w:val="20"/>
        </w:rPr>
        <w:t>ions and financial condition</w:t>
      </w:r>
      <w:r>
        <w:rPr>
          <w:b/>
          <w:bCs/>
          <w:i/>
          <w:iCs/>
          <w:sz w:val="20"/>
          <w:szCs w:val="20"/>
        </w:rPr>
        <w:t>.</w:t>
      </w:r>
    </w:p>
    <w:p w:rsidR="00000000" w:rsidRDefault="006D723D">
      <w:pPr>
        <w:pStyle w:val="a3"/>
        <w:spacing w:before="120" w:beforeAutospacing="0" w:after="0" w:afterAutospacing="0"/>
        <w:jc w:val="both"/>
        <w:rPr>
          <w:sz w:val="20"/>
          <w:szCs w:val="20"/>
        </w:rPr>
      </w:pPr>
      <w:r>
        <w:rPr>
          <w:sz w:val="20"/>
          <w:szCs w:val="20"/>
        </w:rPr>
        <w:t>Any reductions in government spending in an effort to reduce the U.S. federal deficit could result in a reduction in the utilization of our services or additional pricing pressure. Further, there is ongoing uncertainty regardi</w:t>
      </w:r>
      <w:r>
        <w:rPr>
          <w:sz w:val="20"/>
          <w:szCs w:val="20"/>
        </w:rPr>
        <w:t>ng the federal budget and federal spending levels, including the possible impacts of a failure to increase the “debt ceiling.” Any U.S. government default on its debt could have broad macroeconomic effects that could, among other things, raise our borrowin</w:t>
      </w:r>
      <w:r>
        <w:rPr>
          <w:sz w:val="20"/>
          <w:szCs w:val="20"/>
        </w:rPr>
        <w:t>g costs. Any future shutdown of the federal government or failure to enact annual appropriations could also have a material adverse impact on our liquidity, results of operations and financial condition</w:t>
      </w:r>
      <w:r>
        <w:rPr>
          <w:sz w:val="20"/>
          <w:szCs w:val="20"/>
        </w:rPr>
        <w:t>.</w:t>
      </w:r>
    </w:p>
    <w:p w:rsidR="00000000" w:rsidRDefault="006D723D">
      <w:pPr>
        <w:pStyle w:val="a3"/>
        <w:spacing w:before="360" w:beforeAutospacing="0" w:after="0" w:afterAutospacing="0"/>
        <w:jc w:val="both"/>
        <w:rPr>
          <w:sz w:val="20"/>
          <w:szCs w:val="20"/>
        </w:rPr>
      </w:pPr>
      <w:r>
        <w:rPr>
          <w:b/>
          <w:bCs/>
          <w:i/>
          <w:iCs/>
          <w:sz w:val="20"/>
          <w:szCs w:val="20"/>
        </w:rPr>
        <w:t>The COVID-19 pandemic has had, and we expect could c</w:t>
      </w:r>
      <w:r>
        <w:rPr>
          <w:b/>
          <w:bCs/>
          <w:i/>
          <w:iCs/>
          <w:sz w:val="20"/>
          <w:szCs w:val="20"/>
        </w:rPr>
        <w:t>ontinue to have, certain negative effects on our business, and such effects may have a material adverse effect on our results of operations, financial condition and cash flows</w:t>
      </w:r>
      <w:r>
        <w:rPr>
          <w:b/>
          <w:bCs/>
          <w:i/>
          <w:iCs/>
          <w:sz w:val="20"/>
          <w:szCs w:val="20"/>
        </w:rPr>
        <w:t>.</w:t>
      </w:r>
      <w:r>
        <w:rPr>
          <w:b/>
          <w:bCs/>
          <w:i/>
          <w:iCs/>
          <w:sz w:val="20"/>
          <w:szCs w:val="20"/>
        </w:rPr>
        <w:t xml:space="preserve"> </w:t>
      </w:r>
    </w:p>
    <w:p w:rsidR="00000000" w:rsidRDefault="006D723D">
      <w:pPr>
        <w:pStyle w:val="a3"/>
        <w:spacing w:before="120" w:beforeAutospacing="0" w:after="0" w:afterAutospacing="0"/>
        <w:jc w:val="both"/>
        <w:rPr>
          <w:sz w:val="20"/>
          <w:szCs w:val="20"/>
        </w:rPr>
      </w:pPr>
      <w:r>
        <w:rPr>
          <w:sz w:val="20"/>
          <w:szCs w:val="20"/>
        </w:rPr>
        <w:t>The public health crisis caused by the COVID-19 pandemic and the unprecedented</w:t>
      </w:r>
      <w:r>
        <w:rPr>
          <w:sz w:val="20"/>
          <w:szCs w:val="20"/>
        </w:rPr>
        <w:t xml:space="preserve"> measures taken by United States federal, state and local government authorities in an effort to contain and mitigate the spread of COVID-19, have had, and we expect could continue to have, certain negative effects on our business, including, without limit</w:t>
      </w:r>
      <w:r>
        <w:rPr>
          <w:sz w:val="20"/>
          <w:szCs w:val="20"/>
        </w:rPr>
        <w:t>ation, the following</w:t>
      </w:r>
      <w:r>
        <w:rPr>
          <w:sz w:val="20"/>
          <w:szCs w:val="20"/>
        </w:rPr>
        <w:t>:</w:t>
      </w:r>
    </w:p>
    <w:p w:rsidR="00000000" w:rsidRDefault="006D723D">
      <w:pPr>
        <w:pStyle w:val="a3"/>
        <w:spacing w:before="0" w:beforeAutospacing="0" w:after="0" w:afterAutospacing="0"/>
        <w:jc w:val="both"/>
        <w:rPr>
          <w:sz w:val="20"/>
          <w:szCs w:val="20"/>
        </w:rPr>
      </w:pPr>
      <w:r>
        <w:rPr>
          <w:sz w:val="20"/>
          <w:szCs w:val="20"/>
        </w:rPr>
        <w:t> </w:t>
      </w:r>
    </w:p>
    <w:p w:rsidR="00000000" w:rsidRDefault="006D723D">
      <w:pPr>
        <w:jc w:val="both"/>
        <w:divId w:val="1588415142"/>
        <w:rPr>
          <w:rFonts w:eastAsia="Times New Roman"/>
        </w:rPr>
      </w:pPr>
      <w:r>
        <w:rPr>
          <w:rFonts w:eastAsia="Times New Roman"/>
          <w:sz w:val="20"/>
          <w:szCs w:val="20"/>
        </w:rPr>
        <w:t>•</w:t>
      </w:r>
    </w:p>
    <w:p w:rsidR="00000000" w:rsidRDefault="006D723D">
      <w:pPr>
        <w:jc w:val="both"/>
        <w:divId w:val="2013138670"/>
        <w:rPr>
          <w:rFonts w:eastAsia="Times New Roman"/>
        </w:rPr>
      </w:pPr>
      <w:r>
        <w:rPr>
          <w:rFonts w:eastAsia="Times New Roman"/>
          <w:sz w:val="20"/>
          <w:szCs w:val="20"/>
        </w:rPr>
        <w:t>The decision imposed by the federal government to deny entry at the United States southern border to asylum-seekers and anyone crossing the United States southern border without proper documentation or authority in an effort to contain the spread of COVID-</w:t>
      </w:r>
      <w:r>
        <w:rPr>
          <w:rFonts w:eastAsia="Times New Roman"/>
          <w:sz w:val="20"/>
          <w:szCs w:val="20"/>
        </w:rPr>
        <w:t>19 under Title 42 has resulted in a reduction in ICE populations, including in our detention facilities. Litigation challenging the policy of denying entry at the United States southern border to asylum-seekers and anyone crossing the border without proper</w:t>
      </w:r>
      <w:r>
        <w:rPr>
          <w:rFonts w:eastAsia="Times New Roman"/>
          <w:sz w:val="20"/>
          <w:szCs w:val="20"/>
        </w:rPr>
        <w:t xml:space="preserve"> documentation or authority continues. On April 1, 2022, the CDC issued a Public Health Determination terminating Title 42 with an effective date of May 23, 2022. However, on April 25, 2022, a federal judge issued a temporary restraining</w:t>
      </w:r>
      <w:r>
        <w:rPr>
          <w:rFonts w:eastAsia="Times New Roman"/>
          <w:sz w:val="20"/>
          <w:szCs w:val="20"/>
        </w:rPr>
        <w:t xml:space="preserve"> </w:t>
      </w:r>
    </w:p>
    <w:p w:rsidR="00000000" w:rsidRDefault="006D723D">
      <w:pPr>
        <w:pStyle w:val="a3"/>
        <w:spacing w:before="240" w:beforeAutospacing="0" w:after="0" w:afterAutospacing="0"/>
        <w:jc w:val="center"/>
        <w:rPr>
          <w:sz w:val="20"/>
          <w:szCs w:val="20"/>
        </w:rPr>
      </w:pPr>
      <w:r>
        <w:rPr>
          <w:sz w:val="20"/>
          <w:szCs w:val="20"/>
        </w:rPr>
        <w:t>4</w:t>
      </w:r>
      <w:r>
        <w:rPr>
          <w:sz w:val="20"/>
          <w:szCs w:val="20"/>
        </w:rPr>
        <w:t>2</w:t>
      </w:r>
    </w:p>
    <w:p w:rsidR="00000000" w:rsidRDefault="006D723D">
      <w:pPr>
        <w:rPr>
          <w:rFonts w:eastAsia="Times New Roman"/>
        </w:rPr>
      </w:pPr>
      <w:r>
        <w:rPr>
          <w:rFonts w:eastAsia="Times New Roman"/>
        </w:rPr>
        <w:pict>
          <v:rect id="_x0000_i1066"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jc w:val="both"/>
        <w:divId w:val="1413813661"/>
        <w:rPr>
          <w:rFonts w:eastAsia="Times New Roman"/>
        </w:rPr>
      </w:pPr>
      <w:r>
        <w:rPr>
          <w:rFonts w:eastAsia="Times New Roman"/>
          <w:sz w:val="20"/>
          <w:szCs w:val="20"/>
        </w:rPr>
        <w:t xml:space="preserve">order blocking the termination of Title 42, and on May 20, 2022, ruled that the Biden administration violated administrative law when it announced that it planned to cease Title 42. On November 15, 2022, another federal judge ruled </w:t>
      </w:r>
      <w:r>
        <w:rPr>
          <w:rFonts w:eastAsia="Times New Roman"/>
          <w:sz w:val="20"/>
          <w:szCs w:val="20"/>
        </w:rPr>
        <w:t>that expulsions under Title 42 were a violation of the Administrative Procedure Act, noting that Title 42 was an "arbitrary and capricious" violation of the Act, requiring the federal government to process all asylum seekers under applicable immigration la</w:t>
      </w:r>
      <w:r>
        <w:rPr>
          <w:rFonts w:eastAsia="Times New Roman"/>
          <w:sz w:val="20"/>
          <w:szCs w:val="20"/>
        </w:rPr>
        <w:t xml:space="preserve">w in effect prior to the implementation of Title 42. However, on December 19, 2022, the Supreme Court temporarily maintained Title 42, and on December 27, 2022, granted a temporary stay on the cessation of Title 42, while it considers an appeal by a group </w:t>
      </w:r>
      <w:r>
        <w:rPr>
          <w:rFonts w:eastAsia="Times New Roman"/>
          <w:sz w:val="20"/>
          <w:szCs w:val="20"/>
        </w:rPr>
        <w:t>of states seeking to continue Title 42</w:t>
      </w:r>
      <w:r>
        <w:rPr>
          <w:rFonts w:eastAsia="Times New Roman"/>
          <w:sz w:val="20"/>
          <w:szCs w:val="20"/>
        </w:rPr>
        <w:t>.</w:t>
      </w:r>
      <w:r>
        <w:rPr>
          <w:rFonts w:eastAsia="Times New Roman"/>
          <w:sz w:val="20"/>
          <w:szCs w:val="20"/>
        </w:rPr>
        <w:t xml:space="preserve"> </w:t>
      </w:r>
    </w:p>
    <w:p w:rsidR="00000000" w:rsidRDefault="006D723D">
      <w:pPr>
        <w:jc w:val="both"/>
        <w:divId w:val="1085609176"/>
        <w:rPr>
          <w:rFonts w:eastAsia="Times New Roman"/>
        </w:rPr>
      </w:pPr>
      <w:r>
        <w:rPr>
          <w:rFonts w:eastAsia="Times New Roman"/>
          <w:sz w:val="20"/>
          <w:szCs w:val="20"/>
        </w:rPr>
        <w:t>•</w:t>
      </w:r>
    </w:p>
    <w:p w:rsidR="00000000" w:rsidRDefault="006D723D">
      <w:pPr>
        <w:jc w:val="both"/>
        <w:divId w:val="52584600"/>
        <w:rPr>
          <w:rFonts w:eastAsia="Times New Roman"/>
        </w:rPr>
      </w:pPr>
      <w:r>
        <w:rPr>
          <w:rFonts w:eastAsia="Times New Roman"/>
          <w:sz w:val="20"/>
          <w:szCs w:val="20"/>
        </w:rPr>
        <w:t>We have had positive COVID-19 cases at our facilities. We continue to take measures to protect our employees and those entrusted to our care, which have included, but are not limited to, enhanced hygiene practices</w:t>
      </w:r>
      <w:r>
        <w:rPr>
          <w:rFonts w:eastAsia="Times New Roman"/>
          <w:sz w:val="20"/>
          <w:szCs w:val="20"/>
        </w:rPr>
        <w:t>, the suspension or restriction of visitation policies (after consultation with our government partners), following guidance provided by the CDC for Correctional and Detention Facilities, following national and local health standards, and the separation of</w:t>
      </w:r>
      <w:r>
        <w:rPr>
          <w:rFonts w:eastAsia="Times New Roman"/>
          <w:sz w:val="20"/>
          <w:szCs w:val="20"/>
        </w:rPr>
        <w:t xml:space="preserve"> vulnerable inmate populations from the rest of the inmate population for their protection, and have been subjected to certain occupancy restrictions that continue for certain government partners, which has had and continues to have a negative impact on ou</w:t>
      </w:r>
      <w:r>
        <w:rPr>
          <w:rFonts w:eastAsia="Times New Roman"/>
          <w:sz w:val="20"/>
          <w:szCs w:val="20"/>
        </w:rPr>
        <w:t>r revenue</w:t>
      </w:r>
      <w:r>
        <w:rPr>
          <w:rFonts w:eastAsia="Times New Roman"/>
          <w:sz w:val="20"/>
          <w:szCs w:val="20"/>
        </w:rPr>
        <w:t>.</w:t>
      </w:r>
    </w:p>
    <w:p w:rsidR="00000000" w:rsidRDefault="006D723D">
      <w:pPr>
        <w:jc w:val="both"/>
        <w:divId w:val="951594731"/>
        <w:rPr>
          <w:rFonts w:eastAsia="Times New Roman"/>
        </w:rPr>
      </w:pPr>
      <w:r>
        <w:rPr>
          <w:rFonts w:eastAsia="Times New Roman"/>
          <w:sz w:val="20"/>
          <w:szCs w:val="20"/>
        </w:rPr>
        <w:t>•</w:t>
      </w:r>
    </w:p>
    <w:p w:rsidR="00000000" w:rsidRDefault="006D723D">
      <w:pPr>
        <w:jc w:val="both"/>
        <w:divId w:val="664864676"/>
        <w:rPr>
          <w:rFonts w:eastAsia="Times New Roman"/>
        </w:rPr>
      </w:pPr>
      <w:r>
        <w:rPr>
          <w:rFonts w:eastAsia="Times New Roman"/>
          <w:sz w:val="20"/>
          <w:szCs w:val="20"/>
        </w:rPr>
        <w:t>We have experienced labor shortages and wage pressures in many markets across the country and our personnel costs and expenses at our facilities have increased as a result of COVID-19. In response to the COVID-19 pandemic, we have, among other</w:t>
      </w:r>
      <w:r>
        <w:rPr>
          <w:rFonts w:eastAsia="Times New Roman"/>
          <w:sz w:val="20"/>
          <w:szCs w:val="20"/>
        </w:rPr>
        <w:t xml:space="preserve"> things, purchased PPE and supplies, increased compensation and provided additional benefits to staff at our correctional, detention, and residential reentry facilities, and implemented enhanced hygiene practices at our facilities.</w:t>
      </w:r>
      <w:r>
        <w:rPr>
          <w:rFonts w:eastAsia="Times New Roman"/>
          <w:sz w:val="20"/>
          <w:szCs w:val="20"/>
        </w:rPr>
        <w:t xml:space="preserve"> </w:t>
      </w:r>
    </w:p>
    <w:p w:rsidR="00000000" w:rsidRDefault="006D723D">
      <w:pPr>
        <w:jc w:val="both"/>
        <w:divId w:val="1704986949"/>
        <w:rPr>
          <w:rFonts w:eastAsia="Times New Roman"/>
        </w:rPr>
      </w:pPr>
      <w:r>
        <w:rPr>
          <w:rFonts w:eastAsia="Times New Roman"/>
          <w:sz w:val="20"/>
          <w:szCs w:val="20"/>
        </w:rPr>
        <w:t>•</w:t>
      </w:r>
    </w:p>
    <w:p w:rsidR="00000000" w:rsidRDefault="006D723D">
      <w:pPr>
        <w:jc w:val="both"/>
        <w:divId w:val="172915656"/>
        <w:rPr>
          <w:rFonts w:eastAsia="Times New Roman"/>
        </w:rPr>
      </w:pPr>
      <w:r>
        <w:rPr>
          <w:rFonts w:eastAsia="Times New Roman"/>
          <w:sz w:val="20"/>
          <w:szCs w:val="20"/>
        </w:rPr>
        <w:t>Government agencies a</w:t>
      </w:r>
      <w:r>
        <w:rPr>
          <w:rFonts w:eastAsia="Times New Roman"/>
          <w:sz w:val="20"/>
          <w:szCs w:val="20"/>
        </w:rPr>
        <w:t>nd referring boards have decided, and may continue to decide, to refer residents to home confinement or otherwise reduce the utilization of community facilities, such as our residential reentry facilities</w:t>
      </w:r>
      <w:r>
        <w:rPr>
          <w:rFonts w:eastAsia="Times New Roman"/>
          <w:sz w:val="20"/>
          <w:szCs w:val="20"/>
        </w:rPr>
        <w:t>.</w:t>
      </w:r>
    </w:p>
    <w:p w:rsidR="00000000" w:rsidRDefault="006D723D">
      <w:pPr>
        <w:jc w:val="both"/>
        <w:divId w:val="263735548"/>
        <w:rPr>
          <w:rFonts w:eastAsia="Times New Roman"/>
        </w:rPr>
      </w:pPr>
      <w:r>
        <w:rPr>
          <w:rFonts w:eastAsia="Times New Roman"/>
          <w:sz w:val="20"/>
          <w:szCs w:val="20"/>
        </w:rPr>
        <w:t>•</w:t>
      </w:r>
    </w:p>
    <w:p w:rsidR="00000000" w:rsidRDefault="006D723D">
      <w:pPr>
        <w:jc w:val="both"/>
        <w:divId w:val="633608501"/>
        <w:rPr>
          <w:rFonts w:eastAsia="Times New Roman"/>
        </w:rPr>
      </w:pPr>
      <w:r>
        <w:rPr>
          <w:rFonts w:eastAsia="Times New Roman"/>
          <w:sz w:val="20"/>
          <w:szCs w:val="20"/>
        </w:rPr>
        <w:t xml:space="preserve">Actions we have taken or may take, or decisions </w:t>
      </w:r>
      <w:r>
        <w:rPr>
          <w:rFonts w:eastAsia="Times New Roman"/>
          <w:sz w:val="20"/>
          <w:szCs w:val="20"/>
        </w:rPr>
        <w:t>we have made or may make, as a consequence of COVID-19, may result in legal claims or litigation against us</w:t>
      </w:r>
      <w:r>
        <w:rPr>
          <w:rFonts w:eastAsia="Times New Roman"/>
          <w:sz w:val="20"/>
          <w:szCs w:val="20"/>
        </w:rPr>
        <w:t>.</w:t>
      </w:r>
    </w:p>
    <w:p w:rsidR="00000000" w:rsidRDefault="006D723D">
      <w:pPr>
        <w:pStyle w:val="a3"/>
        <w:spacing w:before="240" w:beforeAutospacing="0" w:after="0" w:afterAutospacing="0"/>
        <w:jc w:val="both"/>
        <w:rPr>
          <w:sz w:val="20"/>
          <w:szCs w:val="20"/>
        </w:rPr>
      </w:pPr>
      <w:r>
        <w:rPr>
          <w:sz w:val="20"/>
          <w:szCs w:val="20"/>
        </w:rPr>
        <w:t>Any of the negative impacts of the COVID-19 pandemic, including those described above, alone or in combination with others, may have a material adv</w:t>
      </w:r>
      <w:r>
        <w:rPr>
          <w:sz w:val="20"/>
          <w:szCs w:val="20"/>
        </w:rPr>
        <w:t>erse effect on our results of operations, financial condition and cash flows</w:t>
      </w:r>
      <w:r>
        <w:rPr>
          <w:sz w:val="20"/>
          <w:szCs w:val="20"/>
        </w:rPr>
        <w:t>.</w:t>
      </w:r>
      <w:r>
        <w:rPr>
          <w:sz w:val="20"/>
          <w:szCs w:val="20"/>
        </w:rPr>
        <w:t xml:space="preserve"> </w:t>
      </w:r>
    </w:p>
    <w:p w:rsidR="00000000" w:rsidRDefault="006D723D">
      <w:pPr>
        <w:pStyle w:val="a3"/>
        <w:spacing w:before="360" w:beforeAutospacing="0" w:after="0" w:afterAutospacing="0"/>
        <w:jc w:val="both"/>
        <w:rPr>
          <w:sz w:val="20"/>
          <w:szCs w:val="20"/>
        </w:rPr>
      </w:pPr>
      <w:r>
        <w:rPr>
          <w:b/>
          <w:bCs/>
          <w:i/>
          <w:iCs/>
          <w:sz w:val="20"/>
          <w:szCs w:val="20"/>
        </w:rPr>
        <w:t>Competition may adversely affect the profitability of our business</w:t>
      </w:r>
      <w:r>
        <w:rPr>
          <w:b/>
          <w:bCs/>
          <w:i/>
          <w:iCs/>
          <w:sz w:val="20"/>
          <w:szCs w:val="20"/>
        </w:rPr>
        <w:t>.</w:t>
      </w:r>
      <w:r>
        <w:rPr>
          <w:b/>
          <w:bCs/>
          <w:sz w:val="20"/>
          <w:szCs w:val="20"/>
        </w:rPr>
        <w:t xml:space="preserve"> </w:t>
      </w:r>
    </w:p>
    <w:p w:rsidR="00000000" w:rsidRDefault="006D723D">
      <w:pPr>
        <w:pStyle w:val="a3"/>
        <w:spacing w:before="120" w:beforeAutospacing="0" w:after="0" w:afterAutospacing="0"/>
        <w:jc w:val="both"/>
        <w:rPr>
          <w:sz w:val="20"/>
          <w:szCs w:val="20"/>
        </w:rPr>
      </w:pPr>
      <w:r>
        <w:rPr>
          <w:sz w:val="20"/>
          <w:szCs w:val="20"/>
        </w:rPr>
        <w:t>We compete with government entities and other private operators on the basis of bed availability, cost, qual</w:t>
      </w:r>
      <w:r>
        <w:rPr>
          <w:sz w:val="20"/>
          <w:szCs w:val="20"/>
        </w:rPr>
        <w:t xml:space="preserve">ity and range of services offered, experience in designing, constructing, and managing facilities, and reputation of management and personnel. While there are barriers to entering the market for the ownership and management of correctional, detention, and </w:t>
      </w:r>
      <w:r>
        <w:rPr>
          <w:sz w:val="20"/>
          <w:szCs w:val="20"/>
        </w:rPr>
        <w:t>residential reentry facilities, these barriers may not be sufficient to limit additional competition. In addition, our government customers may assume the management of a facility that they own and we currently manage for them upon the termination of the c</w:t>
      </w:r>
      <w:r>
        <w:rPr>
          <w:sz w:val="20"/>
          <w:szCs w:val="20"/>
        </w:rPr>
        <w:t>orresponding management contract or, if such customers have capacity at their facilities, may take offenders and residents currently cared for in our facilities and transfer them to government-run facilities. Since we are paid on a per diem basis with no m</w:t>
      </w:r>
      <w:r>
        <w:rPr>
          <w:sz w:val="20"/>
          <w:szCs w:val="20"/>
        </w:rPr>
        <w:t>inimum guaranteed occupancy under most of our contracts, the loss of such offenders and residents, and the resulting decrease in occupancy, would cause a decrease in our revenues and profitability</w:t>
      </w:r>
      <w:r>
        <w:rPr>
          <w:sz w:val="20"/>
          <w:szCs w:val="20"/>
        </w:rPr>
        <w:t>.</w:t>
      </w:r>
      <w:r>
        <w:rPr>
          <w:sz w:val="20"/>
          <w:szCs w:val="20"/>
        </w:rPr>
        <w:t xml:space="preserve"> </w:t>
      </w:r>
    </w:p>
    <w:p w:rsidR="00000000" w:rsidRDefault="006D723D">
      <w:pPr>
        <w:pStyle w:val="a3"/>
        <w:spacing w:before="360" w:beforeAutospacing="0" w:after="0" w:afterAutospacing="0"/>
        <w:jc w:val="both"/>
        <w:rPr>
          <w:sz w:val="20"/>
          <w:szCs w:val="20"/>
        </w:rPr>
      </w:pPr>
      <w:r>
        <w:rPr>
          <w:b/>
          <w:bCs/>
          <w:i/>
          <w:iCs/>
          <w:sz w:val="20"/>
          <w:szCs w:val="20"/>
        </w:rPr>
        <w:t>We are subject to terminations, non-renewals, or competit</w:t>
      </w:r>
      <w:r>
        <w:rPr>
          <w:b/>
          <w:bCs/>
          <w:i/>
          <w:iCs/>
          <w:sz w:val="20"/>
          <w:szCs w:val="20"/>
        </w:rPr>
        <w:t>ive re-bids of our government contracts</w:t>
      </w:r>
      <w:r>
        <w:rPr>
          <w:b/>
          <w:bCs/>
          <w:i/>
          <w:iCs/>
          <w:sz w:val="20"/>
          <w:szCs w:val="20"/>
        </w:rPr>
        <w:t>.</w:t>
      </w:r>
      <w:r>
        <w:rPr>
          <w:b/>
          <w:bCs/>
          <w:sz w:val="20"/>
          <w:szCs w:val="20"/>
        </w:rPr>
        <w:t xml:space="preserve"> </w:t>
      </w:r>
    </w:p>
    <w:p w:rsidR="00000000" w:rsidRDefault="006D723D">
      <w:pPr>
        <w:pStyle w:val="a3"/>
        <w:spacing w:before="120" w:beforeAutospacing="0" w:after="0" w:afterAutospacing="0"/>
        <w:jc w:val="both"/>
        <w:rPr>
          <w:sz w:val="20"/>
          <w:szCs w:val="20"/>
        </w:rPr>
      </w:pPr>
      <w:r>
        <w:rPr>
          <w:sz w:val="20"/>
          <w:szCs w:val="20"/>
        </w:rPr>
        <w:t>We typically enter into facility contracts with governmental entities for terms of up to five years, with additional renewal periods at the option of the contracting governmental agency. Notwithstanding any contrac</w:t>
      </w:r>
      <w:r>
        <w:rPr>
          <w:sz w:val="20"/>
          <w:szCs w:val="20"/>
        </w:rPr>
        <w:t>tual renewal option of a contracting governmental agency, 38 of our facility contracts with the customers listed under "Business – Facility Portfolio" are currently scheduled to expire on or before December 31, 2023 but have renewal options (25), or are cu</w:t>
      </w:r>
      <w:r>
        <w:rPr>
          <w:sz w:val="20"/>
          <w:szCs w:val="20"/>
        </w:rPr>
        <w:t xml:space="preserve">rrently scheduled to expire on or before December 31, 2023 and have no renewal options (13). Although we generally expect these customers to exercise renewal options or negotiate new contracts with us, one or more of these contracts may not be renewed and </w:t>
      </w:r>
      <w:r>
        <w:rPr>
          <w:sz w:val="20"/>
          <w:szCs w:val="20"/>
        </w:rPr>
        <w:t>we may not be able to negotiate a new contract on favorable terms or at all with the corresponding governmental agency. In addition, these and any other contracting agencies may determine not to exercise renewal options with respect to any of our contracts</w:t>
      </w:r>
      <w:r>
        <w:rPr>
          <w:sz w:val="20"/>
          <w:szCs w:val="20"/>
        </w:rPr>
        <w:t xml:space="preserve"> in the future. Our government partners can also re-bi</w:t>
      </w:r>
      <w:r>
        <w:rPr>
          <w:sz w:val="20"/>
          <w:szCs w:val="20"/>
        </w:rPr>
        <w:t>d</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4</w:t>
      </w:r>
      <w:r>
        <w:rPr>
          <w:sz w:val="20"/>
          <w:szCs w:val="20"/>
        </w:rPr>
        <w:t>3</w:t>
      </w:r>
    </w:p>
    <w:p w:rsidR="00000000" w:rsidRDefault="006D723D">
      <w:pPr>
        <w:rPr>
          <w:rFonts w:eastAsia="Times New Roman"/>
        </w:rPr>
      </w:pPr>
      <w:r>
        <w:rPr>
          <w:rFonts w:eastAsia="Times New Roman"/>
        </w:rPr>
        <w:pict>
          <v:rect id="_x0000_i1067"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120" w:beforeAutospacing="0" w:after="0" w:afterAutospacing="0"/>
        <w:jc w:val="both"/>
        <w:rPr>
          <w:sz w:val="20"/>
          <w:szCs w:val="20"/>
        </w:rPr>
      </w:pPr>
      <w:r>
        <w:rPr>
          <w:sz w:val="20"/>
          <w:szCs w:val="20"/>
        </w:rPr>
        <w:t>contracts in a competitive procurement process upon termination or non-renewal of our contract. Competitive re-bids may result from the expiration of the term of a contract, including the initial term and any renewal p</w:t>
      </w:r>
      <w:r>
        <w:rPr>
          <w:sz w:val="20"/>
          <w:szCs w:val="20"/>
        </w:rPr>
        <w:t>eriods, or the early termination of a contract. Competitive re-bids are often required by applicable federal or state procurement laws periodically in order to further competitive pricing and other terms for the government agency. The aggregate revenue ear</w:t>
      </w:r>
      <w:r>
        <w:rPr>
          <w:sz w:val="20"/>
          <w:szCs w:val="20"/>
        </w:rPr>
        <w:t>ned during the year ended December 31, 2022 for the 38 contracts with scheduled maturity dates, notwithstanding contractual renewal options, on or before December 31, 2023 was $645.8 million, or 35% of total revenue</w:t>
      </w:r>
      <w:r>
        <w:rPr>
          <w:sz w:val="20"/>
          <w:szCs w:val="20"/>
        </w:rPr>
        <w:t>.</w:t>
      </w:r>
    </w:p>
    <w:p w:rsidR="00000000" w:rsidRDefault="006D723D">
      <w:pPr>
        <w:pStyle w:val="a3"/>
        <w:spacing w:before="240" w:beforeAutospacing="0" w:after="0" w:afterAutospacing="0"/>
        <w:jc w:val="both"/>
        <w:rPr>
          <w:sz w:val="20"/>
          <w:szCs w:val="20"/>
        </w:rPr>
      </w:pPr>
      <w:r>
        <w:rPr>
          <w:sz w:val="20"/>
          <w:szCs w:val="20"/>
        </w:rPr>
        <w:t>Additionally, on January 26, 2021, Pres</w:t>
      </w:r>
      <w:r>
        <w:rPr>
          <w:sz w:val="20"/>
          <w:szCs w:val="20"/>
        </w:rPr>
        <w:t>ident Biden issued the Private Prison EO. The Private Prison EO directs the Attorney General to not renew DOJ contracts with privately operated criminal detention facilities. Two agencies of the DOJ, the BOP and the USMS utilize our services. The BOP house</w:t>
      </w:r>
      <w:r>
        <w:rPr>
          <w:sz w:val="20"/>
          <w:szCs w:val="20"/>
        </w:rPr>
        <w:t>s inmates who have been convicted, and the USMS is generally responsible for detainees who are awaiting trial. The BOP has experienced a steady decline in inmate populations over the last decade, a trend that was accelerated by the COVID-19 pandemic. Our r</w:t>
      </w:r>
      <w:r>
        <w:rPr>
          <w:sz w:val="20"/>
          <w:szCs w:val="20"/>
        </w:rPr>
        <w:t>emaining prison contract with the BOP at the 1,978-bed McRae Correctional Facility expired on November 30, 2022 and was not renewed. This contract accounted for 2% ($37.8 million) and 2% ($40.6 million) of our total revenue for the twelve months ended Dece</w:t>
      </w:r>
      <w:r>
        <w:rPr>
          <w:sz w:val="20"/>
          <w:szCs w:val="20"/>
        </w:rPr>
        <w:t>mber 31, 2022 and 2021, respectively. We completed the sale of the McRae facility in August 2022 to the Georgia Building Authority, and entered into an agreement to lease the facility through November 2022 to allow us to fulfill our obligations to the BOP.</w:t>
      </w:r>
      <w:r>
        <w:rPr>
          <w:sz w:val="20"/>
          <w:szCs w:val="20"/>
        </w:rPr>
        <w:t xml:space="preserve"> The Private Prison EO only applies to agencies that are part of the DOJ, which includes the BOP and USMS. ICE facilities are not covered by the Private Prison EO, as ICE is an agency of the DHS, not the DOJ, although it is possible that the federal govern</w:t>
      </w:r>
      <w:r>
        <w:rPr>
          <w:sz w:val="20"/>
          <w:szCs w:val="20"/>
        </w:rPr>
        <w:t>ment could choose to take similar action on ICE facilities in the future. For the twelve months ended December 31, 2022, USMS and ICE accounted for 22% ($403.9 million) and 29% ($527.3 million), respectively, of our total revenue. For the twelve months end</w:t>
      </w:r>
      <w:r>
        <w:rPr>
          <w:sz w:val="20"/>
          <w:szCs w:val="20"/>
        </w:rPr>
        <w:t>ed December 31, 2021, USMS and ICE accounted for 23% ($433.6 million) and 30% ($552.2 million), respectively, of our total revenue</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Unlike the BOP, the USMS does not own detention capacity and relies on the private sector, along with various government ag</w:t>
      </w:r>
      <w:r>
        <w:rPr>
          <w:sz w:val="20"/>
          <w:szCs w:val="20"/>
        </w:rPr>
        <w:t>encies, for its detainee population. The USMS has been advised by the Office of the Deputy Attorney General not to renew existing contracts, or enter into new contracts for private detention facilities. We currently have</w:t>
      </w:r>
      <w:r>
        <w:rPr>
          <w:sz w:val="20"/>
          <w:szCs w:val="20"/>
        </w:rPr>
        <w:t xml:space="preserve"> </w:t>
      </w:r>
      <w:r>
        <w:rPr>
          <w:sz w:val="20"/>
          <w:szCs w:val="20"/>
        </w:rPr>
        <w:t xml:space="preserve">two detention facilities that have </w:t>
      </w:r>
      <w:r>
        <w:rPr>
          <w:sz w:val="20"/>
          <w:szCs w:val="20"/>
        </w:rPr>
        <w:t>direct contracts with the USMS</w:t>
      </w:r>
      <w:r>
        <w:rPr>
          <w:sz w:val="20"/>
          <w:szCs w:val="20"/>
        </w:rPr>
        <w:t xml:space="preserve"> </w:t>
      </w:r>
      <w:r>
        <w:rPr>
          <w:sz w:val="20"/>
          <w:szCs w:val="20"/>
        </w:rPr>
        <w:t>that expire in September 2023 and September 2025. The facility with the contract expiring in September 2023 services a substantial number of USMS detainees that we believe will be challenging to replace, and we intend to work</w:t>
      </w:r>
      <w:r>
        <w:rPr>
          <w:sz w:val="20"/>
          <w:szCs w:val="20"/>
        </w:rPr>
        <w:t xml:space="preserve"> with the USMS to enable it to continue to fulfill its mission.</w:t>
      </w:r>
      <w:r>
        <w:rPr>
          <w:sz w:val="20"/>
          <w:szCs w:val="20"/>
        </w:rPr>
        <w:t xml:space="preserve"> </w:t>
      </w:r>
      <w:r>
        <w:rPr>
          <w:sz w:val="20"/>
          <w:szCs w:val="20"/>
        </w:rPr>
        <w:t>However, we can provide no assurance that this contract will be renewed or replaced upon expiration. It is too early to predict the outcome of the expiration of the contract scheduled to expir</w:t>
      </w:r>
      <w:r>
        <w:rPr>
          <w:sz w:val="20"/>
          <w:szCs w:val="20"/>
        </w:rPr>
        <w:t>e in September 2025, and future developments could occur prior to the scheduled expiration dat</w:t>
      </w:r>
      <w:r>
        <w:rPr>
          <w:sz w:val="20"/>
          <w:szCs w:val="20"/>
        </w:rPr>
        <w:t>e</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 xml:space="preserve">On December 6, 2022, we received notice from the CDCR of its intent to terminate the lease agreement for our 2,560-bed California City Correctional Center by </w:t>
      </w:r>
      <w:r>
        <w:rPr>
          <w:sz w:val="20"/>
          <w:szCs w:val="20"/>
        </w:rPr>
        <w:t>March 31, 2024, due to the state's declining inmate population. The lease agreement is fully funded through the state of California's current fiscal year ending June 30, 2023. Funding for the lease of the facility for the 2024 fiscal year, beginning July 1</w:t>
      </w:r>
      <w:r>
        <w:rPr>
          <w:sz w:val="20"/>
          <w:szCs w:val="20"/>
        </w:rPr>
        <w:t>, 2023, will be determined in the California legislature in the first half of 2023 as part of the annual budget process. As part of this process, we plan to engage with the state of California regarding the continued utilization of the California City faci</w:t>
      </w:r>
      <w:r>
        <w:rPr>
          <w:sz w:val="20"/>
          <w:szCs w:val="20"/>
        </w:rPr>
        <w:t>lity by the CDCR. However, we can provide no assurance that we will be successful in reaching an agreement for the utilization of the facility beyond June 30, 2023. Rental revenue generated from the CDCR at the California City facility was $34.0 million, $</w:t>
      </w:r>
      <w:r>
        <w:rPr>
          <w:sz w:val="20"/>
          <w:szCs w:val="20"/>
        </w:rPr>
        <w:t>33.3 million, and $32.8 million for the twelve months ended December 31, 2022, 2021, and 2020 respectively</w:t>
      </w:r>
      <w:r>
        <w:rPr>
          <w:sz w:val="20"/>
          <w:szCs w:val="20"/>
        </w:rPr>
        <w:t>.</w:t>
      </w:r>
    </w:p>
    <w:p w:rsidR="00000000" w:rsidRDefault="006D723D">
      <w:pPr>
        <w:pStyle w:val="a3"/>
        <w:spacing w:before="240" w:beforeAutospacing="0" w:after="0" w:afterAutospacing="0"/>
        <w:jc w:val="both"/>
        <w:rPr>
          <w:sz w:val="20"/>
          <w:szCs w:val="20"/>
        </w:rPr>
      </w:pPr>
      <w:r>
        <w:rPr>
          <w:sz w:val="20"/>
          <w:szCs w:val="20"/>
        </w:rPr>
        <w:t>Governmental agencies typically may terminate a facility contract at any time without cause or use the possibility of termination to negotiate a low</w:t>
      </w:r>
      <w:r>
        <w:rPr>
          <w:sz w:val="20"/>
          <w:szCs w:val="20"/>
        </w:rPr>
        <w:t>er per diem rate. In the event any of our contracts are terminated or are not renewed on favorable terms or otherwise, we may not be able to obtain additional replacement contracts. The non-renewal, termination, renegotiation or competitive re-bid of any o</w:t>
      </w:r>
      <w:r>
        <w:rPr>
          <w:sz w:val="20"/>
          <w:szCs w:val="20"/>
        </w:rPr>
        <w:t>f our contracts with governmental agencies could materially adversely affect our financial condition, results of operations and liquidity, including our ability to secure new facility contracts from others</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4</w:t>
      </w:r>
      <w:r>
        <w:rPr>
          <w:sz w:val="20"/>
          <w:szCs w:val="20"/>
        </w:rPr>
        <w:t>4</w:t>
      </w:r>
    </w:p>
    <w:p w:rsidR="00000000" w:rsidRDefault="006D723D">
      <w:pPr>
        <w:rPr>
          <w:rFonts w:eastAsia="Times New Roman"/>
        </w:rPr>
      </w:pPr>
      <w:r>
        <w:rPr>
          <w:rFonts w:eastAsia="Times New Roman"/>
        </w:rPr>
        <w:pict>
          <v:rect id="_x0000_i1068"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 xml:space="preserve">Based </w:t>
      </w:r>
      <w:r>
        <w:rPr>
          <w:sz w:val="20"/>
          <w:szCs w:val="20"/>
        </w:rPr>
        <w:t>on information available as of the date of this Annual Report, other than the previously mentioned lease agreement with the CDCR for our California City facility, we believe we will renew all other contracts with our government partners that have expired o</w:t>
      </w:r>
      <w:r>
        <w:rPr>
          <w:sz w:val="20"/>
          <w:szCs w:val="20"/>
        </w:rPr>
        <w:t>r are scheduled to expire within the next twelve months that could have a material adverse impact on our financial statements. We believe our renewal rate on existing contracts remains high due to a variety of reasons including, but not limited to, the con</w:t>
      </w:r>
      <w:r>
        <w:rPr>
          <w:sz w:val="20"/>
          <w:szCs w:val="20"/>
        </w:rPr>
        <w:t>strained supply of available beds within the U.S. correctional system, our ownership of the majority of the beds we operate, and the cost effectiveness of the services we provide. However, we cannot assure that we will continue to achieve such renewal rate</w:t>
      </w:r>
      <w:r>
        <w:rPr>
          <w:sz w:val="20"/>
          <w:szCs w:val="20"/>
        </w:rPr>
        <w:t>s in the future</w:t>
      </w:r>
      <w:r>
        <w:rPr>
          <w:sz w:val="20"/>
          <w:szCs w:val="20"/>
        </w:rPr>
        <w:t>.</w:t>
      </w:r>
      <w:r>
        <w:rPr>
          <w:sz w:val="20"/>
          <w:szCs w:val="20"/>
        </w:rPr>
        <w:t xml:space="preserve"> </w:t>
      </w:r>
    </w:p>
    <w:p w:rsidR="00000000" w:rsidRDefault="006D723D">
      <w:pPr>
        <w:pStyle w:val="a3"/>
        <w:spacing w:before="360" w:beforeAutospacing="0" w:after="0" w:afterAutospacing="0"/>
        <w:jc w:val="both"/>
        <w:rPr>
          <w:sz w:val="20"/>
          <w:szCs w:val="20"/>
        </w:rPr>
      </w:pPr>
      <w:r>
        <w:rPr>
          <w:b/>
          <w:bCs/>
          <w:i/>
          <w:iCs/>
          <w:sz w:val="20"/>
          <w:szCs w:val="20"/>
        </w:rPr>
        <w:t>Our ability to secure new contracts to develop and manage correctional, detention, and residential reentry facilities depends on many factors outside our control</w:t>
      </w:r>
      <w:r>
        <w:rPr>
          <w:b/>
          <w:bCs/>
          <w:i/>
          <w:iCs/>
          <w:sz w:val="20"/>
          <w:szCs w:val="20"/>
        </w:rPr>
        <w:t>.</w:t>
      </w:r>
      <w:r>
        <w:rPr>
          <w:b/>
          <w:bCs/>
          <w:i/>
          <w:iCs/>
          <w:sz w:val="20"/>
          <w:szCs w:val="20"/>
        </w:rPr>
        <w:t xml:space="preserve"> </w:t>
      </w:r>
    </w:p>
    <w:p w:rsidR="00000000" w:rsidRDefault="006D723D">
      <w:pPr>
        <w:pStyle w:val="a3"/>
        <w:spacing w:before="120" w:beforeAutospacing="0" w:after="0" w:afterAutospacing="0"/>
        <w:jc w:val="both"/>
        <w:rPr>
          <w:sz w:val="20"/>
          <w:szCs w:val="20"/>
        </w:rPr>
      </w:pPr>
      <w:r>
        <w:rPr>
          <w:sz w:val="20"/>
          <w:szCs w:val="20"/>
        </w:rPr>
        <w:t>Our growth is generally dependent upon our ability to obtain new contracts</w:t>
      </w:r>
      <w:r>
        <w:rPr>
          <w:sz w:val="20"/>
          <w:szCs w:val="20"/>
        </w:rPr>
        <w:t xml:space="preserve"> to develop and manage correctional, detention, and residential reentry facilities. This possible growth depends on a number of factors we cannot control, including crime rates and sentencing patterns in various jurisdictions, governmental budgetary constr</w:t>
      </w:r>
      <w:r>
        <w:rPr>
          <w:sz w:val="20"/>
          <w:szCs w:val="20"/>
        </w:rPr>
        <w:t>aints, and governmental and public acceptance of privatization. The demand for our facilities and services could be adversely affected by the relaxation of enforcement efforts, the expansion of alternatives to incarceration and detention, leniency in convi</w:t>
      </w:r>
      <w:r>
        <w:rPr>
          <w:sz w:val="20"/>
          <w:szCs w:val="20"/>
        </w:rPr>
        <w:t>ction or parole standards and sentencing practices through the decriminalization of certain activities that are currently proscribed by criminal laws. For instance, any changes with respect to drugs and controlled substances or illegal immigration could af</w:t>
      </w:r>
      <w:r>
        <w:rPr>
          <w:sz w:val="20"/>
          <w:szCs w:val="20"/>
        </w:rPr>
        <w:t xml:space="preserve">fect the number of persons arrested, convicted, and sentenced, thereby potentially reducing demand for correctional or detention facilities to house them. Immigration reform laws are currently a focus for legislators and politicians at the federal, state, </w:t>
      </w:r>
      <w:r>
        <w:rPr>
          <w:sz w:val="20"/>
          <w:szCs w:val="20"/>
        </w:rPr>
        <w:t>and local level. Legislation has also been proposed in numerous jurisdictions that could lower minimum sentences for some non-violent crimes and make more inmates eligible for early release based on good behavior. On December 21, 2018, President Trump sign</w:t>
      </w:r>
      <w:r>
        <w:rPr>
          <w:sz w:val="20"/>
          <w:szCs w:val="20"/>
        </w:rPr>
        <w:t>ed legislation, known as The First Step Act, that reduces sentences for first-time offenders in possession of a gun when committing a crime, eliminates mandating life-time sentences for three-time offenders, provides judges more discretion in crafting sent</w:t>
      </w:r>
      <w:r>
        <w:rPr>
          <w:sz w:val="20"/>
          <w:szCs w:val="20"/>
        </w:rPr>
        <w:t>ences for some drug-related offenses, and allows offenders to seek a retroactive reduction in sentences affected by the disparity in the sentences for crack and powder cocaine cases narrowed by the Fair Sentencing Act of 2010. (Although, under long-standin</w:t>
      </w:r>
      <w:r>
        <w:rPr>
          <w:sz w:val="20"/>
          <w:szCs w:val="20"/>
        </w:rPr>
        <w:t>g policy, CoreCivic does not draft, lobby for, promote, or in any way take a position on policies that determine the basis or duration of an individual's incarceration or detention, CoreCivic supported adoption of The First Step Act because the legislation</w:t>
      </w:r>
      <w:r>
        <w:rPr>
          <w:sz w:val="20"/>
          <w:szCs w:val="20"/>
        </w:rPr>
        <w:t xml:space="preserve"> aligns with our publicly stated commitment to advocate for a range of recidivism-reducing policies by providing additional resources to help ensure that incarcerated individuals are given the best possible chance to successfully return to their communitie</w:t>
      </w:r>
      <w:r>
        <w:rPr>
          <w:sz w:val="20"/>
          <w:szCs w:val="20"/>
        </w:rPr>
        <w:t>s and stay out of prison.) Also, the expansion of alternatives to incarceration and detention, such as electronic monitoring or the use of other technologies, may reduce the number of offenders who would otherwise be incarcerated or detained. Similarly, re</w:t>
      </w:r>
      <w:r>
        <w:rPr>
          <w:sz w:val="20"/>
          <w:szCs w:val="20"/>
        </w:rPr>
        <w:t>ductions in crime rates, increases in resources dedicated to preventing crime, reduced funding for law enforcement, or strained law enforcement resources could lead to a reduction in arrests, which could lead to a decrease in convictions and sentences requ</w:t>
      </w:r>
      <w:r>
        <w:rPr>
          <w:sz w:val="20"/>
          <w:szCs w:val="20"/>
        </w:rPr>
        <w:t>iring incarceration at correctional facilities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Moreover, certain jurisdictions recently have required successful bidders to make a significant capital investment in connection with the financing of a particular project, a trend that could significantly b</w:t>
      </w:r>
      <w:r>
        <w:rPr>
          <w:sz w:val="20"/>
          <w:szCs w:val="20"/>
        </w:rPr>
        <w:t>urden our capital resources to remain competitive. We may compete for such projects with companies that have more financial resources than we have. Further, we may not be able to obtain the capital resources when needed. A prolonged downturn in the financi</w:t>
      </w:r>
      <w:r>
        <w:rPr>
          <w:sz w:val="20"/>
          <w:szCs w:val="20"/>
        </w:rPr>
        <w:t>al capital markets or in our stock price could make it more difficult to obtain capital resources at favorable rates of return or obtain capital resources at all</w:t>
      </w:r>
      <w:r>
        <w:rPr>
          <w:sz w:val="20"/>
          <w:szCs w:val="20"/>
        </w:rPr>
        <w:t>.</w:t>
      </w:r>
    </w:p>
    <w:p w:rsidR="00000000" w:rsidRDefault="006D723D">
      <w:pPr>
        <w:pStyle w:val="a3"/>
        <w:spacing w:before="240" w:beforeAutospacing="0" w:after="0" w:afterAutospacing="0"/>
        <w:jc w:val="center"/>
        <w:rPr>
          <w:sz w:val="20"/>
          <w:szCs w:val="20"/>
        </w:rPr>
      </w:pPr>
      <w:r>
        <w:rPr>
          <w:sz w:val="20"/>
          <w:szCs w:val="20"/>
        </w:rPr>
        <w:t>4</w:t>
      </w:r>
      <w:r>
        <w:rPr>
          <w:sz w:val="20"/>
          <w:szCs w:val="20"/>
        </w:rPr>
        <w:t>5</w:t>
      </w:r>
    </w:p>
    <w:p w:rsidR="00000000" w:rsidRDefault="006D723D">
      <w:pPr>
        <w:rPr>
          <w:rFonts w:eastAsia="Times New Roman"/>
        </w:rPr>
      </w:pPr>
      <w:r>
        <w:rPr>
          <w:rFonts w:eastAsia="Times New Roman"/>
        </w:rPr>
        <w:pict>
          <v:rect id="_x0000_i1069"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b/>
          <w:bCs/>
          <w:i/>
          <w:iCs/>
          <w:sz w:val="20"/>
          <w:szCs w:val="20"/>
        </w:rPr>
        <w:t>We may face community opposition to facility locatio</w:t>
      </w:r>
      <w:r>
        <w:rPr>
          <w:b/>
          <w:bCs/>
          <w:i/>
          <w:iCs/>
          <w:sz w:val="20"/>
          <w:szCs w:val="20"/>
        </w:rPr>
        <w:t>n, which may adversely affect our ability to obtain new contract</w:t>
      </w:r>
      <w:r>
        <w:rPr>
          <w:b/>
          <w:bCs/>
          <w:i/>
          <w:iCs/>
          <w:sz w:val="20"/>
          <w:szCs w:val="20"/>
        </w:rPr>
        <w:t>s</w:t>
      </w:r>
      <w:r>
        <w:rPr>
          <w:b/>
          <w:bCs/>
          <w:sz w:val="20"/>
          <w:szCs w:val="20"/>
        </w:rPr>
        <w:t>.</w:t>
      </w:r>
      <w:r>
        <w:rPr>
          <w:b/>
          <w:bCs/>
          <w:sz w:val="20"/>
          <w:szCs w:val="20"/>
        </w:rPr>
        <w:t xml:space="preserve"> </w:t>
      </w:r>
    </w:p>
    <w:p w:rsidR="00000000" w:rsidRDefault="006D723D">
      <w:pPr>
        <w:pStyle w:val="a3"/>
        <w:spacing w:before="120" w:beforeAutospacing="0" w:after="0" w:afterAutospacing="0"/>
        <w:jc w:val="both"/>
        <w:rPr>
          <w:sz w:val="20"/>
          <w:szCs w:val="20"/>
        </w:rPr>
      </w:pPr>
      <w:r>
        <w:rPr>
          <w:sz w:val="20"/>
          <w:szCs w:val="20"/>
        </w:rPr>
        <w:t>Our success in obtaining new awards and contracts sometimes depends, in part, upon our ability to locate land that can be leased or acquired, on economically favorable terms, by us or othe</w:t>
      </w:r>
      <w:r>
        <w:rPr>
          <w:sz w:val="20"/>
          <w:szCs w:val="20"/>
        </w:rPr>
        <w:t xml:space="preserve">r entities working with us in conjunction with our proposal to construct and/or manage a facility. Some locations may be in or near populous areas and, therefore, may generate legal action or other forms of opposition from residents in areas surrounding a </w:t>
      </w:r>
      <w:r>
        <w:rPr>
          <w:sz w:val="20"/>
          <w:szCs w:val="20"/>
        </w:rPr>
        <w:t>proposed site. When selecting project sites, we attempt to conduct business in communities where local leaders and residents generally support the establishment of a privatized correctional, detention, or residential reentry facility. Even if we identify s</w:t>
      </w:r>
      <w:r>
        <w:rPr>
          <w:sz w:val="20"/>
          <w:szCs w:val="20"/>
        </w:rPr>
        <w:t>ites where local leaders and residents generally support the establishment of a correctional or detention facility, whether to be publicly or privately operated, such endeavors may still face resistance by broader groups to facilities perceived as supporti</w:t>
      </w:r>
      <w:r>
        <w:rPr>
          <w:sz w:val="20"/>
          <w:szCs w:val="20"/>
        </w:rPr>
        <w:t>ng over-incarceration. Therefore, future efforts to find suitable host communities may not be successful. We may incur substantial costs in evaluating the feasibility of the development of a correctional or detention facility. As a result, we may report si</w:t>
      </w:r>
      <w:r>
        <w:rPr>
          <w:sz w:val="20"/>
          <w:szCs w:val="20"/>
        </w:rPr>
        <w:t>gnificant charges if we decide to abandon efforts to develop a correctional or detention facility on a particular site. Further, in many cases, the site selection is made by the contracting governmental entity. In such cases, site selection may be made for</w:t>
      </w:r>
      <w:r>
        <w:rPr>
          <w:sz w:val="20"/>
          <w:szCs w:val="20"/>
        </w:rPr>
        <w:t xml:space="preserve"> reasons related to political and/or economic development interests and may lead to the selection of sites that have less favorable environments</w:t>
      </w:r>
      <w:r>
        <w:rPr>
          <w:sz w:val="20"/>
          <w:szCs w:val="20"/>
        </w:rPr>
        <w:t>.</w:t>
      </w:r>
      <w:r>
        <w:rPr>
          <w:sz w:val="20"/>
          <w:szCs w:val="20"/>
        </w:rPr>
        <w:t xml:space="preserve"> </w:t>
      </w:r>
    </w:p>
    <w:p w:rsidR="00000000" w:rsidRDefault="006D723D">
      <w:pPr>
        <w:pStyle w:val="a3"/>
        <w:spacing w:before="360" w:beforeAutospacing="0" w:after="0" w:afterAutospacing="0"/>
        <w:jc w:val="both"/>
        <w:rPr>
          <w:sz w:val="20"/>
          <w:szCs w:val="20"/>
        </w:rPr>
      </w:pPr>
      <w:r>
        <w:rPr>
          <w:b/>
          <w:bCs/>
          <w:i/>
          <w:iCs/>
          <w:sz w:val="20"/>
          <w:szCs w:val="20"/>
        </w:rPr>
        <w:t>Providing family residential services increases certain unique risks and difficulties compared to operating o</w:t>
      </w:r>
      <w:r>
        <w:rPr>
          <w:b/>
          <w:bCs/>
          <w:i/>
          <w:iCs/>
          <w:sz w:val="20"/>
          <w:szCs w:val="20"/>
        </w:rPr>
        <w:t>ur other facilitie</w:t>
      </w:r>
      <w:r>
        <w:rPr>
          <w:b/>
          <w:bCs/>
          <w:i/>
          <w:iCs/>
          <w:sz w:val="20"/>
          <w:szCs w:val="20"/>
        </w:rPr>
        <w:t>s</w:t>
      </w:r>
      <w:r>
        <w:rPr>
          <w:i/>
          <w:iCs/>
          <w:sz w:val="20"/>
          <w:szCs w:val="20"/>
        </w:rPr>
        <w:t>.</w:t>
      </w:r>
      <w:r>
        <w:rPr>
          <w:i/>
          <w:iCs/>
          <w:sz w:val="20"/>
          <w:szCs w:val="20"/>
        </w:rPr>
        <w:t xml:space="preserve"> </w:t>
      </w:r>
    </w:p>
    <w:p w:rsidR="00000000" w:rsidRDefault="006D723D">
      <w:pPr>
        <w:pStyle w:val="a3"/>
        <w:spacing w:before="120" w:beforeAutospacing="0" w:after="0" w:afterAutospacing="0"/>
        <w:jc w:val="both"/>
        <w:rPr>
          <w:sz w:val="20"/>
          <w:szCs w:val="20"/>
        </w:rPr>
      </w:pPr>
      <w:r>
        <w:rPr>
          <w:sz w:val="20"/>
          <w:szCs w:val="20"/>
        </w:rPr>
        <w:t xml:space="preserve">In September 2014, we signed an amended agreement to provide at the South Texas Family Residential Center safe and humane residential housing, as well as educational opportunities, to women and children (but no unaccompanied children) under the custody of </w:t>
      </w:r>
      <w:r>
        <w:rPr>
          <w:sz w:val="20"/>
          <w:szCs w:val="20"/>
        </w:rPr>
        <w:t>ICE, who are awaiting their due process before immigration courts. In October 2016, we entered into an amended agreement that extended the term of the 2014 agreement through September 2021. The term of the amended agreement was further extended in Septembe</w:t>
      </w:r>
      <w:r>
        <w:rPr>
          <w:sz w:val="20"/>
          <w:szCs w:val="20"/>
        </w:rPr>
        <w:t>r 2020, from September 2021 to September 2026. ICE has modified the mission at this facility in the past, for example, to authorize two parent family units. During the fourth quarter of 2021, ICE suspended the placement of children at this facility, but co</w:t>
      </w:r>
      <w:r>
        <w:rPr>
          <w:sz w:val="20"/>
          <w:szCs w:val="20"/>
        </w:rPr>
        <w:t>ntinues to use the facility under the Family Residential Standards for people claiming asylum because the facility design provides flexibility for unique needs of various residential populations. Depending on the demands at the southern border, ICE could a</w:t>
      </w:r>
      <w:r>
        <w:rPr>
          <w:sz w:val="20"/>
          <w:szCs w:val="20"/>
        </w:rPr>
        <w:t>gain in the future place accompanied children at this facility for residential services. Providing family residential services, particularly to children, subjects us to unique risks such as unanticipated increased costs and litigation that could materially</w:t>
      </w:r>
      <w:r>
        <w:rPr>
          <w:sz w:val="20"/>
          <w:szCs w:val="20"/>
        </w:rPr>
        <w:t xml:space="preserve"> adversely affect our business, financial condition, or results of operations. For example, the contract mandates resident-to-staff ratios that are higher than our typical contract, requires services unique to this contract, and limits the use of security </w:t>
      </w:r>
      <w:r>
        <w:rPr>
          <w:sz w:val="20"/>
          <w:szCs w:val="20"/>
        </w:rPr>
        <w:t>protocols and techniques typically utilized in correctional and detention settings. These operational risks and others associated with privately managing this type of residential facility could result in higher costs associated with staffing and lead to in</w:t>
      </w:r>
      <w:r>
        <w:rPr>
          <w:sz w:val="20"/>
          <w:szCs w:val="20"/>
        </w:rPr>
        <w:t>creased litigation</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Numerous lawsuits, to which we are not a party, have challenged the government's policy of detaining migrant families, and government policies with respect to family immigration may impact the demand for the South Texas Family Resident</w:t>
      </w:r>
      <w:r>
        <w:rPr>
          <w:sz w:val="20"/>
          <w:szCs w:val="20"/>
        </w:rPr>
        <w:t>ial Center. Any court decision or unrelated government action that impacts our existing contract for the South Texas Family Residential Center could materially affect our cash flows, financial condition, and results of operations. During 2022, 2021, and 20</w:t>
      </w:r>
      <w:r>
        <w:rPr>
          <w:sz w:val="20"/>
          <w:szCs w:val="20"/>
        </w:rPr>
        <w:t>20, revenues at this facility were $156.5 million, $159.9 million, and $168.0 million, respectively</w:t>
      </w:r>
      <w:r>
        <w:rPr>
          <w:sz w:val="20"/>
          <w:szCs w:val="20"/>
        </w:rPr>
        <w:t>.</w:t>
      </w:r>
    </w:p>
    <w:p w:rsidR="00000000" w:rsidRDefault="006D723D">
      <w:pPr>
        <w:pStyle w:val="a3"/>
        <w:spacing w:before="240" w:beforeAutospacing="0" w:after="0" w:afterAutospacing="0"/>
        <w:jc w:val="center"/>
        <w:rPr>
          <w:sz w:val="20"/>
          <w:szCs w:val="20"/>
        </w:rPr>
      </w:pPr>
      <w:r>
        <w:rPr>
          <w:sz w:val="20"/>
          <w:szCs w:val="20"/>
        </w:rPr>
        <w:t>4</w:t>
      </w:r>
      <w:r>
        <w:rPr>
          <w:sz w:val="20"/>
          <w:szCs w:val="20"/>
        </w:rPr>
        <w:t>6</w:t>
      </w:r>
    </w:p>
    <w:p w:rsidR="00000000" w:rsidRDefault="006D723D">
      <w:pPr>
        <w:rPr>
          <w:rFonts w:eastAsia="Times New Roman"/>
        </w:rPr>
      </w:pPr>
      <w:r>
        <w:rPr>
          <w:rFonts w:eastAsia="Times New Roman"/>
        </w:rPr>
        <w:pict>
          <v:rect id="_x0000_i1070"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360" w:beforeAutospacing="0" w:after="0" w:afterAutospacing="0"/>
        <w:jc w:val="both"/>
        <w:rPr>
          <w:sz w:val="20"/>
          <w:szCs w:val="20"/>
        </w:rPr>
      </w:pPr>
      <w:r>
        <w:rPr>
          <w:b/>
          <w:bCs/>
          <w:i/>
          <w:iCs/>
          <w:sz w:val="20"/>
          <w:szCs w:val="20"/>
        </w:rPr>
        <w:t>We may incur significant start-up and operating costs on new contracts before receiving related revenues, which may impact our cash flows and not be recouped</w:t>
      </w:r>
      <w:r>
        <w:rPr>
          <w:b/>
          <w:bCs/>
          <w:i/>
          <w:iCs/>
          <w:sz w:val="20"/>
          <w:szCs w:val="20"/>
        </w:rPr>
        <w:t>.</w:t>
      </w:r>
      <w:r>
        <w:rPr>
          <w:b/>
          <w:bCs/>
          <w:sz w:val="20"/>
          <w:szCs w:val="20"/>
        </w:rPr>
        <w:t xml:space="preserve"> </w:t>
      </w:r>
    </w:p>
    <w:p w:rsidR="00000000" w:rsidRDefault="006D723D">
      <w:pPr>
        <w:pStyle w:val="a3"/>
        <w:spacing w:before="120" w:beforeAutospacing="0" w:after="0" w:afterAutospacing="0"/>
        <w:jc w:val="both"/>
        <w:rPr>
          <w:sz w:val="20"/>
          <w:szCs w:val="20"/>
        </w:rPr>
      </w:pPr>
      <w:r>
        <w:rPr>
          <w:sz w:val="20"/>
          <w:szCs w:val="20"/>
        </w:rPr>
        <w:t>When we are awarded a contract to provide or manage a faci</w:t>
      </w:r>
      <w:r>
        <w:rPr>
          <w:sz w:val="20"/>
          <w:szCs w:val="20"/>
        </w:rPr>
        <w:t xml:space="preserve">lity, we may incur significant start-up and operating expenses, including the cost of constructing the facility, purchasing equipment and staffing the facility, before we receive any payments under the contract. We may also experience a disruption in cash </w:t>
      </w:r>
      <w:r>
        <w:rPr>
          <w:sz w:val="20"/>
          <w:szCs w:val="20"/>
        </w:rPr>
        <w:t>flows when transitioning from one contract to another. For example, during 2022, as a result of a new contract award from the state of Arizona for up to 2,706 inmates, we transitioned the population at our 3,060-bed La Palma Correctional Center from ICE de</w:t>
      </w:r>
      <w:r>
        <w:rPr>
          <w:sz w:val="20"/>
          <w:szCs w:val="20"/>
        </w:rPr>
        <w:t xml:space="preserve">tainees to inmates from the state of Arizona, which resulted in the disruption of earnings and cash flows until the occupancy of inmates from the state of Arizona reached stabilization. Disruptions like these could result in a significant reduction in our </w:t>
      </w:r>
      <w:r>
        <w:rPr>
          <w:sz w:val="20"/>
          <w:szCs w:val="20"/>
        </w:rPr>
        <w:t>cash reserves and may make it more difficult for us to meet other cash obligations. In addition, a contract may be terminated prior to its scheduled expiration, and as a result, we may not recover these expenditures or realize any return on our investment</w:t>
      </w:r>
      <w:r>
        <w:rPr>
          <w:sz w:val="20"/>
          <w:szCs w:val="20"/>
        </w:rPr>
        <w:t>.</w:t>
      </w:r>
    </w:p>
    <w:p w:rsidR="00000000" w:rsidRDefault="006D723D">
      <w:pPr>
        <w:pStyle w:val="a3"/>
        <w:spacing w:before="360" w:beforeAutospacing="0" w:after="0" w:afterAutospacing="0"/>
        <w:jc w:val="both"/>
        <w:rPr>
          <w:sz w:val="20"/>
          <w:szCs w:val="20"/>
        </w:rPr>
      </w:pPr>
      <w:r>
        <w:rPr>
          <w:b/>
          <w:bCs/>
          <w:i/>
          <w:iCs/>
          <w:sz w:val="20"/>
          <w:szCs w:val="20"/>
        </w:rPr>
        <w:t>Government agencies may investigate and audit our contracts and operational performance, and if any deficiencies or improprieties are found, we may be required to cure those deficiencies or improprieties, refund revenues we have received, or forego antici</w:t>
      </w:r>
      <w:r>
        <w:rPr>
          <w:b/>
          <w:bCs/>
          <w:i/>
          <w:iCs/>
          <w:sz w:val="20"/>
          <w:szCs w:val="20"/>
        </w:rPr>
        <w:t>pated revenues, and we may be subject to penalties and sanctions, including contract termination and prohibitions on our bidding in response to Requests for Proposals</w:t>
      </w:r>
      <w:r>
        <w:rPr>
          <w:b/>
          <w:bCs/>
          <w:i/>
          <w:iCs/>
          <w:sz w:val="20"/>
          <w:szCs w:val="20"/>
        </w:rPr>
        <w:t>.</w:t>
      </w:r>
      <w:r>
        <w:rPr>
          <w:b/>
          <w:bCs/>
          <w:sz w:val="20"/>
          <w:szCs w:val="20"/>
        </w:rPr>
        <w:t xml:space="preserve"> </w:t>
      </w:r>
    </w:p>
    <w:p w:rsidR="00000000" w:rsidRDefault="006D723D">
      <w:pPr>
        <w:pStyle w:val="a3"/>
        <w:spacing w:before="120" w:beforeAutospacing="0" w:after="0" w:afterAutospacing="0"/>
        <w:jc w:val="both"/>
        <w:rPr>
          <w:sz w:val="20"/>
          <w:szCs w:val="20"/>
        </w:rPr>
      </w:pPr>
      <w:r>
        <w:rPr>
          <w:sz w:val="20"/>
          <w:szCs w:val="20"/>
        </w:rPr>
        <w:t>Governmental agencies with which we contract have the authority to audit and investigat</w:t>
      </w:r>
      <w:r>
        <w:rPr>
          <w:sz w:val="20"/>
          <w:szCs w:val="20"/>
        </w:rPr>
        <w:t xml:space="preserve">e our contracts with them. As part of that process, government agencies may review our performance of the contract, our pricing practices, our cost structure and our compliance with applicable performance requirements, laws, regulations and standards. The </w:t>
      </w:r>
      <w:r>
        <w:rPr>
          <w:sz w:val="20"/>
          <w:szCs w:val="20"/>
        </w:rPr>
        <w:t xml:space="preserve">regulatory and contractual environment in which we operate is complex and many aspects of our operations remain subject to manual processes and oversight that make compliance monitoring difficult and resource intensive. A governmental agency audit, review </w:t>
      </w:r>
      <w:r>
        <w:rPr>
          <w:sz w:val="20"/>
          <w:szCs w:val="20"/>
        </w:rPr>
        <w:t>or investigation could result in a request to cure a performance or compliance issue, and if we are unable to, or otherwise fail to do so, the failure could lead to the imposition of monetary penalties or revenue deductions, or the termination of the contr</w:t>
      </w:r>
      <w:r>
        <w:rPr>
          <w:sz w:val="20"/>
          <w:szCs w:val="20"/>
        </w:rPr>
        <w:t>act in question and/or other contracts that we have with that governmental agency. Similarly, for contracts that actually or effectively provide for certain reimbursement of expenses, if an agency determines that we have improperly allocated costs to a spe</w:t>
      </w:r>
      <w:r>
        <w:rPr>
          <w:sz w:val="20"/>
          <w:szCs w:val="20"/>
        </w:rPr>
        <w:t xml:space="preserve">cific contract, we may not be reimbursed for those expenses, and we could be required to refund the amount of any such expenses that have been reimbursed or pay liquidated damages. If a government audit asserts improper or illegal activities by us, we may </w:t>
      </w:r>
      <w:r>
        <w:rPr>
          <w:sz w:val="20"/>
          <w:szCs w:val="20"/>
        </w:rPr>
        <w:t>be subject to civil and criminal penalties and administrative sanctions, including termination of contracts, forfeitures of profits, suspension of payments, fines and suspension or disqualification from doing business with certain government entities. In a</w:t>
      </w:r>
      <w:r>
        <w:rPr>
          <w:sz w:val="20"/>
          <w:szCs w:val="20"/>
        </w:rPr>
        <w:t>ddition to the potential civil and criminal penalties and administrative sanctions, any adverse determination with respect to contractual or regulatory violations could negatively impact our ability to bid in response to Requests for Proposals, or RFPs, in</w:t>
      </w:r>
      <w:r>
        <w:rPr>
          <w:sz w:val="20"/>
          <w:szCs w:val="20"/>
        </w:rPr>
        <w:t xml:space="preserve"> one or more jurisdictions</w:t>
      </w:r>
      <w:r>
        <w:rPr>
          <w:sz w:val="20"/>
          <w:szCs w:val="20"/>
        </w:rPr>
        <w:t>.</w:t>
      </w:r>
    </w:p>
    <w:p w:rsidR="00000000" w:rsidRDefault="006D723D">
      <w:pPr>
        <w:pStyle w:val="a3"/>
        <w:spacing w:before="240" w:beforeAutospacing="0" w:after="0" w:afterAutospacing="0"/>
        <w:jc w:val="center"/>
        <w:rPr>
          <w:sz w:val="20"/>
          <w:szCs w:val="20"/>
        </w:rPr>
      </w:pPr>
      <w:r>
        <w:rPr>
          <w:sz w:val="20"/>
          <w:szCs w:val="20"/>
        </w:rPr>
        <w:t>4</w:t>
      </w:r>
      <w:r>
        <w:rPr>
          <w:sz w:val="20"/>
          <w:szCs w:val="20"/>
        </w:rPr>
        <w:t>7</w:t>
      </w:r>
    </w:p>
    <w:p w:rsidR="00000000" w:rsidRDefault="006D723D">
      <w:pPr>
        <w:rPr>
          <w:rFonts w:eastAsia="Times New Roman"/>
        </w:rPr>
      </w:pPr>
      <w:r>
        <w:rPr>
          <w:rFonts w:eastAsia="Times New Roman"/>
        </w:rPr>
        <w:pict>
          <v:rect id="_x0000_i1071"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360" w:beforeAutospacing="0" w:after="0" w:afterAutospacing="0"/>
        <w:jc w:val="both"/>
        <w:rPr>
          <w:sz w:val="20"/>
          <w:szCs w:val="20"/>
        </w:rPr>
      </w:pPr>
      <w:r>
        <w:rPr>
          <w:b/>
          <w:bCs/>
          <w:i/>
          <w:iCs/>
          <w:sz w:val="20"/>
          <w:szCs w:val="20"/>
        </w:rPr>
        <w:t xml:space="preserve">Failure to comply with facility contracts or with unique and increased governmental regulation could result in material penalties or non-renewal or termination of noncompliant contracts </w:t>
      </w:r>
      <w:r>
        <w:rPr>
          <w:b/>
          <w:bCs/>
          <w:i/>
          <w:iCs/>
          <w:sz w:val="20"/>
          <w:szCs w:val="20"/>
        </w:rPr>
        <w:t>or our other contracts to provide or manage correctional, detention, and residential reentry facilities</w:t>
      </w:r>
      <w:r>
        <w:rPr>
          <w:b/>
          <w:bCs/>
          <w:i/>
          <w:iCs/>
          <w:sz w:val="20"/>
          <w:szCs w:val="20"/>
        </w:rPr>
        <w:t>.</w:t>
      </w:r>
      <w:r>
        <w:rPr>
          <w:b/>
          <w:bCs/>
          <w:sz w:val="20"/>
          <w:szCs w:val="20"/>
        </w:rPr>
        <w:t xml:space="preserve"> </w:t>
      </w:r>
    </w:p>
    <w:p w:rsidR="00000000" w:rsidRDefault="006D723D">
      <w:pPr>
        <w:pStyle w:val="a3"/>
        <w:spacing w:before="120" w:beforeAutospacing="0" w:after="0" w:afterAutospacing="0"/>
        <w:jc w:val="both"/>
        <w:rPr>
          <w:sz w:val="20"/>
          <w:szCs w:val="20"/>
        </w:rPr>
      </w:pPr>
      <w:r>
        <w:rPr>
          <w:sz w:val="20"/>
          <w:szCs w:val="20"/>
        </w:rPr>
        <w:t>The industry in which we operate is subject to extensive federal, state, and local regulations, including educational, environmental, health care, dat</w:t>
      </w:r>
      <w:r>
        <w:rPr>
          <w:sz w:val="20"/>
          <w:szCs w:val="20"/>
        </w:rPr>
        <w:t>a privacy, transportation, telecommunications, and safety regulations, which are administered by many regulatory authorities. Some of the regulations are unique to the corrections industry, some target private, for-profit entities by imposing location requ</w:t>
      </w:r>
      <w:r>
        <w:rPr>
          <w:sz w:val="20"/>
          <w:szCs w:val="20"/>
        </w:rPr>
        <w:t>irements, compliance requirements, elevated litigation risk and financial penalties only on private, for-profit correction and detention providers, and some are unique to government contractors. The combination of regulations we face is unique and complex.</w:t>
      </w:r>
      <w:r>
        <w:rPr>
          <w:sz w:val="20"/>
          <w:szCs w:val="20"/>
        </w:rPr>
        <w:t xml:space="preserve"> Facility management contracts typically include reporting requirements, supervision, and on-site monitoring by representatives of the contracting governmental agencies. Corrections and reentry personnel are customarily required to meet certain training st</w:t>
      </w:r>
      <w:r>
        <w:rPr>
          <w:sz w:val="20"/>
          <w:szCs w:val="20"/>
        </w:rPr>
        <w:t>andards and, in some instances, facility personnel are required to be licensed and subject to background investigation. Certain jurisdictions also require us to award subcontracts on a competitive basis or to subcontract with certain types of businesses, s</w:t>
      </w:r>
      <w:r>
        <w:rPr>
          <w:sz w:val="20"/>
          <w:szCs w:val="20"/>
        </w:rPr>
        <w:t>uch as small businesses and businesses owned by members of minority groups. Our facilities are also subject to operational and financial audits by the governmental agencies with which we have contracts. Federal regulations also require federal government c</w:t>
      </w:r>
      <w:r>
        <w:rPr>
          <w:sz w:val="20"/>
          <w:szCs w:val="20"/>
        </w:rPr>
        <w:t>ontractors like us to self-report evidence of certain forms of misconduct. We may not always successfully comply with these regulations and contract requirements, and failure to comply can result in material penalties, including financial penalties, non-re</w:t>
      </w:r>
      <w:r>
        <w:rPr>
          <w:sz w:val="20"/>
          <w:szCs w:val="20"/>
        </w:rPr>
        <w:t>newal or termination of noncompliant contracts and/or our other facility contracts, exclusion from new contract procurement or RFP bidding, and suspension or debarment from contracting with certain government entities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In addition, private prison managers</w:t>
      </w:r>
      <w:r>
        <w:rPr>
          <w:sz w:val="20"/>
          <w:szCs w:val="20"/>
        </w:rPr>
        <w:t xml:space="preserve"> are subject to government legislation and regulation attempting to restrict the ability of private prison managers to house certain types of inmates, such as inmates from other jurisdictions or inmates at medium or higher security levels. Legislation has </w:t>
      </w:r>
      <w:r>
        <w:rPr>
          <w:sz w:val="20"/>
          <w:szCs w:val="20"/>
        </w:rPr>
        <w:t>been enacted in several states, and has previously been proposed in the United States Congress, containing such restrictions. Such legislation, if enacted, could have an adverse effect on us</w:t>
      </w:r>
      <w:r>
        <w:rPr>
          <w:sz w:val="20"/>
          <w:szCs w:val="20"/>
        </w:rPr>
        <w:t>.</w:t>
      </w:r>
    </w:p>
    <w:p w:rsidR="00000000" w:rsidRDefault="006D723D">
      <w:pPr>
        <w:pStyle w:val="a3"/>
        <w:spacing w:before="120" w:beforeAutospacing="0" w:after="0" w:afterAutospacing="0"/>
        <w:jc w:val="both"/>
        <w:rPr>
          <w:sz w:val="20"/>
          <w:szCs w:val="20"/>
        </w:rPr>
      </w:pPr>
      <w:r>
        <w:rPr>
          <w:sz w:val="20"/>
          <w:szCs w:val="20"/>
        </w:rPr>
        <w:t>There also has been increasing focus by U.S. and foreign governm</w:t>
      </w:r>
      <w:r>
        <w:rPr>
          <w:sz w:val="20"/>
          <w:szCs w:val="20"/>
        </w:rPr>
        <w:t>ent authorities on environmental matters, such as climate change, the reduction of greenhouse gases and water consumption. New or revised laws and regulations or new interpretations of existing laws and regulations, such as those related to climate change,</w:t>
      </w:r>
      <w:r>
        <w:rPr>
          <w:sz w:val="20"/>
          <w:szCs w:val="20"/>
        </w:rPr>
        <w:t xml:space="preserve"> could affect the operation of our properties or result in significant additional expense and restrictions on our business operations</w:t>
      </w:r>
      <w:r>
        <w:rPr>
          <w:sz w:val="20"/>
          <w:szCs w:val="20"/>
        </w:rPr>
        <w:t>.</w:t>
      </w:r>
    </w:p>
    <w:p w:rsidR="00000000" w:rsidRDefault="006D723D">
      <w:pPr>
        <w:pStyle w:val="a3"/>
        <w:spacing w:before="240" w:beforeAutospacing="0" w:after="0" w:afterAutospacing="0"/>
        <w:jc w:val="both"/>
        <w:rPr>
          <w:sz w:val="20"/>
          <w:szCs w:val="20"/>
        </w:rPr>
      </w:pPr>
      <w:r>
        <w:rPr>
          <w:sz w:val="20"/>
          <w:szCs w:val="20"/>
        </w:rPr>
        <w:t>Our inmate transportation subsidiary, TransCor, is subject to regulations promulgated by the Departments of Transportatio</w:t>
      </w:r>
      <w:r>
        <w:rPr>
          <w:sz w:val="20"/>
          <w:szCs w:val="20"/>
        </w:rPr>
        <w:t>n and Justice. TransCor must also comply with the Interstate Transportation of Dangerous Criminals Act of 2000, which covers operational aspects of transporting prisoners, including, but not limited to, background checks and drug testing of employees; empl</w:t>
      </w:r>
      <w:r>
        <w:rPr>
          <w:sz w:val="20"/>
          <w:szCs w:val="20"/>
        </w:rPr>
        <w:t xml:space="preserve">oyee training; employee hours; staff-to-inmate ratios; prisoner restraints; communication with local law enforcement; and standards to help ensure the safety of prisoners during transport. Any changes in such regulations could result in an increase in the </w:t>
      </w:r>
      <w:r>
        <w:rPr>
          <w:sz w:val="20"/>
          <w:szCs w:val="20"/>
        </w:rPr>
        <w:t>cost of our transportation operations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From time to time, we enter into agreements with telecommunications providers to provide telephone services to residents in our facilities. Although we are not a telecommunications provider, these services are subjec</w:t>
      </w:r>
      <w:r>
        <w:rPr>
          <w:sz w:val="20"/>
          <w:szCs w:val="20"/>
        </w:rPr>
        <w:t>t to regulations which may change from time to time. We are subject to the direct and indirect effects of these regulations. Non</w:t>
      </w:r>
      <w:r>
        <w:rPr>
          <w:sz w:val="20"/>
          <w:szCs w:val="20"/>
        </w:rPr>
        <w:noBreakHyphen/>
        <w:t>compliance with these regulations, either by us or by our telecommunications providers, subjects us to risks which could result</w:t>
      </w:r>
      <w:r>
        <w:rPr>
          <w:sz w:val="20"/>
          <w:szCs w:val="20"/>
        </w:rPr>
        <w:t xml:space="preserve"> in increases to our costs or decreases in our revenue. The impact to our revenue is limited because a significant amount of commissions paid by our telecommunications providers is passed along to our customers or is reserved and must be used for the benef</w:t>
      </w:r>
      <w:r>
        <w:rPr>
          <w:sz w:val="20"/>
          <w:szCs w:val="20"/>
        </w:rPr>
        <w:t>it of offenders in our care</w:t>
      </w:r>
      <w:r>
        <w:rPr>
          <w:sz w:val="20"/>
          <w:szCs w:val="20"/>
        </w:rPr>
        <w:t>.</w:t>
      </w:r>
    </w:p>
    <w:p w:rsidR="00000000" w:rsidRDefault="006D723D">
      <w:pPr>
        <w:pStyle w:val="a3"/>
        <w:spacing w:before="240" w:beforeAutospacing="0" w:after="0" w:afterAutospacing="0"/>
        <w:jc w:val="center"/>
        <w:rPr>
          <w:sz w:val="20"/>
          <w:szCs w:val="20"/>
        </w:rPr>
      </w:pPr>
      <w:r>
        <w:rPr>
          <w:sz w:val="20"/>
          <w:szCs w:val="20"/>
        </w:rPr>
        <w:t>4</w:t>
      </w:r>
      <w:r>
        <w:rPr>
          <w:sz w:val="20"/>
          <w:szCs w:val="20"/>
        </w:rPr>
        <w:t>8</w:t>
      </w:r>
    </w:p>
    <w:p w:rsidR="00000000" w:rsidRDefault="006D723D">
      <w:pPr>
        <w:rPr>
          <w:rFonts w:eastAsia="Times New Roman"/>
        </w:rPr>
      </w:pPr>
      <w:r>
        <w:rPr>
          <w:rFonts w:eastAsia="Times New Roman"/>
        </w:rPr>
        <w:pict>
          <v:rect id="_x0000_i1072"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360" w:beforeAutospacing="0" w:after="0" w:afterAutospacing="0"/>
        <w:jc w:val="both"/>
        <w:rPr>
          <w:sz w:val="20"/>
          <w:szCs w:val="20"/>
        </w:rPr>
      </w:pPr>
      <w:r>
        <w:rPr>
          <w:b/>
          <w:bCs/>
          <w:i/>
          <w:iCs/>
          <w:sz w:val="20"/>
          <w:szCs w:val="20"/>
        </w:rPr>
        <w:t>We depend on a limited number of governmental customers for a significant portion of our revenues</w:t>
      </w:r>
      <w:r>
        <w:rPr>
          <w:b/>
          <w:bCs/>
          <w:i/>
          <w:iCs/>
          <w:sz w:val="20"/>
          <w:szCs w:val="20"/>
        </w:rPr>
        <w:t>.</w:t>
      </w:r>
      <w:r>
        <w:rPr>
          <w:b/>
          <w:bCs/>
          <w:i/>
          <w:iCs/>
          <w:sz w:val="20"/>
          <w:szCs w:val="20"/>
        </w:rPr>
        <w:t xml:space="preserve"> </w:t>
      </w:r>
    </w:p>
    <w:p w:rsidR="00000000" w:rsidRDefault="006D723D">
      <w:pPr>
        <w:pStyle w:val="a3"/>
        <w:spacing w:before="120" w:beforeAutospacing="0" w:after="0" w:afterAutospacing="0"/>
        <w:jc w:val="both"/>
        <w:rPr>
          <w:sz w:val="20"/>
          <w:szCs w:val="20"/>
        </w:rPr>
      </w:pPr>
      <w:r>
        <w:rPr>
          <w:sz w:val="20"/>
          <w:szCs w:val="20"/>
        </w:rPr>
        <w:t>We currently derive, and expect to continue to derive, a significant portion of our re</w:t>
      </w:r>
      <w:r>
        <w:rPr>
          <w:sz w:val="20"/>
          <w:szCs w:val="20"/>
        </w:rPr>
        <w:t>venues from a limited number of governmental agencies. The three primary federal governmental agencies with correctional and detention responsibilities, ICE, the USMS, and the BOP accounted for 54% of our total revenues for the year ended December 31, 2022</w:t>
      </w:r>
      <w:r>
        <w:rPr>
          <w:sz w:val="20"/>
          <w:szCs w:val="20"/>
        </w:rPr>
        <w:t xml:space="preserve"> ($994.6 million). For the year ended December 31, 2022, ICE, USMS, and the BOP accounted for 29% ($527.3 million), 22% ($403.9 million), and 3% ($63.4 million), respectively, of our total revenue. Although the revenue generated from each of these agencies</w:t>
      </w:r>
      <w:r>
        <w:rPr>
          <w:sz w:val="20"/>
          <w:szCs w:val="20"/>
        </w:rPr>
        <w:t xml:space="preserve"> is derived from numerous management contracts and various types of properties, i.e. correctional, detention, and reentry, the loss or substantial reduction in value of one or more of such contracts could have a material adverse impact on our financial con</w:t>
      </w:r>
      <w:r>
        <w:rPr>
          <w:sz w:val="20"/>
          <w:szCs w:val="20"/>
        </w:rPr>
        <w:t>dition, results of operations, and cash flows. We expect to continue to depend upon federal agencies, including ICE and the USMS, and a relatively small group of other governmental customers for a significant percentage of our revenues</w:t>
      </w:r>
      <w:r>
        <w:rPr>
          <w:sz w:val="20"/>
          <w:szCs w:val="20"/>
        </w:rPr>
        <w:t>.</w:t>
      </w:r>
    </w:p>
    <w:p w:rsidR="00000000" w:rsidRDefault="006D723D">
      <w:pPr>
        <w:pStyle w:val="a3"/>
        <w:spacing w:before="240" w:beforeAutospacing="0" w:after="0" w:afterAutospacing="0"/>
        <w:jc w:val="both"/>
        <w:rPr>
          <w:sz w:val="20"/>
          <w:szCs w:val="20"/>
        </w:rPr>
      </w:pPr>
      <w:r>
        <w:rPr>
          <w:sz w:val="20"/>
          <w:szCs w:val="20"/>
        </w:rPr>
        <w:t>Additionally, the P</w:t>
      </w:r>
      <w:r>
        <w:rPr>
          <w:sz w:val="20"/>
          <w:szCs w:val="20"/>
        </w:rPr>
        <w:t>rivate Prison EO issued by President Biden on January 26, 2021, directs the Attorney General to not renew DOJ contracts with privately operated criminal detention facilities. Two agencies of the DOJ, the BOP and the USMS utilize our services. The BOP house</w:t>
      </w:r>
      <w:r>
        <w:rPr>
          <w:sz w:val="20"/>
          <w:szCs w:val="20"/>
        </w:rPr>
        <w:t xml:space="preserve">s inmates who have been convicted, and the USMS is generally responsible for detainees who are awaiting trial. The BOP has experienced a steady decline in inmate populations over the last decade, a trend that has been accelerated by the COVID-19 pandemic. </w:t>
      </w:r>
      <w:r>
        <w:rPr>
          <w:sz w:val="20"/>
          <w:szCs w:val="20"/>
        </w:rPr>
        <w:t>Our remaining prison contract with the BOP at the 1,978-bed McRae Correctional Facility expired on November 30, 2022 and was not renewed. This contract accounted for 2% ($37.8 million) and 2% ($40.6 million) of our total revenue for the twelve months ended</w:t>
      </w:r>
      <w:r>
        <w:rPr>
          <w:sz w:val="20"/>
          <w:szCs w:val="20"/>
        </w:rPr>
        <w:t xml:space="preserve"> December 31, 2022 and 2021, respectively. We completed the sale of the McRae facility in August 2022 to the Georgia Building Authority, and entered into an agreement to lease the facility through November 2022 to allow us to fulfill our obligations to the</w:t>
      </w:r>
      <w:r>
        <w:rPr>
          <w:sz w:val="20"/>
          <w:szCs w:val="20"/>
        </w:rPr>
        <w:t xml:space="preserve"> BOP. The Private Prison EO only applies to agencies that are part of the DOJ, which includes the BOP and USMS. ICE facilities are not covered by the Private Prison EO, as ICE is an agency of the DHS, not the DOJ, although it is possible that the federal g</w:t>
      </w:r>
      <w:r>
        <w:rPr>
          <w:sz w:val="20"/>
          <w:szCs w:val="20"/>
        </w:rPr>
        <w:t>overnment could choose to take similar action on ICE facilities in the future</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Unlike the BOP, the USMS does not own detention capacity and relies on the private sector, along with various government agencies, for its detainee population. The USMS has been advised by the Office of the Deputy Attorney General not to renew existing con</w:t>
      </w:r>
      <w:r>
        <w:rPr>
          <w:sz w:val="20"/>
          <w:szCs w:val="20"/>
        </w:rPr>
        <w:t>tracts, or enter into new contracts for private detention facilities. We currently have</w:t>
      </w:r>
      <w:r>
        <w:rPr>
          <w:sz w:val="20"/>
          <w:szCs w:val="20"/>
        </w:rPr>
        <w:t xml:space="preserve"> </w:t>
      </w:r>
      <w:r>
        <w:rPr>
          <w:sz w:val="20"/>
          <w:szCs w:val="20"/>
        </w:rPr>
        <w:t>two detention facilities that have direct contracts with the USMS</w:t>
      </w:r>
      <w:r>
        <w:rPr>
          <w:sz w:val="20"/>
          <w:szCs w:val="20"/>
        </w:rPr>
        <w:t xml:space="preserve"> </w:t>
      </w:r>
      <w:r>
        <w:rPr>
          <w:sz w:val="20"/>
          <w:szCs w:val="20"/>
        </w:rPr>
        <w:t>that expire in September 2023 and September 2025. The facility with the contract expiring in September</w:t>
      </w:r>
      <w:r>
        <w:rPr>
          <w:sz w:val="20"/>
          <w:szCs w:val="20"/>
        </w:rPr>
        <w:t xml:space="preserve"> 2023 services a substantial number of USMS detainees that we believe will be challenging to replace, and we intend to work with the USMS to enable it to continue to fulfill its mission.</w:t>
      </w:r>
      <w:r>
        <w:rPr>
          <w:sz w:val="20"/>
          <w:szCs w:val="20"/>
        </w:rPr>
        <w:t xml:space="preserve"> </w:t>
      </w:r>
      <w:r>
        <w:rPr>
          <w:sz w:val="20"/>
          <w:szCs w:val="20"/>
        </w:rPr>
        <w:t>However, we can provide no assurance that this contract will be renew</w:t>
      </w:r>
      <w:r>
        <w:rPr>
          <w:sz w:val="20"/>
          <w:szCs w:val="20"/>
        </w:rPr>
        <w:t>ed or replaced upon expiration. It is too early to predict the outcome of the expiration of the contract scheduled to expire in September 2025, and future developments could occur prior to the scheduled expiration dat</w:t>
      </w:r>
      <w:r>
        <w:rPr>
          <w:sz w:val="20"/>
          <w:szCs w:val="20"/>
        </w:rPr>
        <w:t>e</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As previously mentioned herein, rev</w:t>
      </w:r>
      <w:r>
        <w:rPr>
          <w:sz w:val="20"/>
          <w:szCs w:val="20"/>
        </w:rPr>
        <w:t>enue from our South Texas Family Residential Center was $156.5 million in 2022, $159.9 million in 2021, and $168.0 million in 2020. The loss or reduction in value of this contract, whether due to change in mission, legal challenges, or change in government</w:t>
      </w:r>
      <w:r>
        <w:rPr>
          <w:sz w:val="20"/>
          <w:szCs w:val="20"/>
        </w:rPr>
        <w:t xml:space="preserve"> policy, could have an adverse impact on our financial condition, results of operations, and cash flows</w:t>
      </w:r>
      <w:r>
        <w:rPr>
          <w:sz w:val="20"/>
          <w:szCs w:val="20"/>
        </w:rPr>
        <w:t>.</w:t>
      </w:r>
      <w:r>
        <w:rPr>
          <w:sz w:val="20"/>
          <w:szCs w:val="20"/>
        </w:rPr>
        <w:t xml:space="preserve"> </w:t>
      </w:r>
    </w:p>
    <w:p w:rsidR="00000000" w:rsidRDefault="006D723D">
      <w:pPr>
        <w:pStyle w:val="a3"/>
        <w:spacing w:before="360" w:beforeAutospacing="0" w:after="0" w:afterAutospacing="0"/>
        <w:jc w:val="both"/>
        <w:rPr>
          <w:sz w:val="20"/>
          <w:szCs w:val="20"/>
        </w:rPr>
      </w:pPr>
      <w:r>
        <w:rPr>
          <w:b/>
          <w:bCs/>
          <w:i/>
          <w:iCs/>
          <w:sz w:val="20"/>
          <w:szCs w:val="20"/>
        </w:rPr>
        <w:t>As a result of our acquisitions, we have recorded and will continue to record goodwill and other intangible assets. In the future, our goodwill or oth</w:t>
      </w:r>
      <w:r>
        <w:rPr>
          <w:b/>
          <w:bCs/>
          <w:i/>
          <w:iCs/>
          <w:sz w:val="20"/>
          <w:szCs w:val="20"/>
        </w:rPr>
        <w:t>er intangible assets may become impaired, which could result in non-cash charges to our results of operations</w:t>
      </w:r>
      <w:r>
        <w:rPr>
          <w:b/>
          <w:bCs/>
          <w:i/>
          <w:iCs/>
          <w:sz w:val="20"/>
          <w:szCs w:val="20"/>
        </w:rPr>
        <w:t>.</w:t>
      </w:r>
      <w:r>
        <w:rPr>
          <w:b/>
          <w:bCs/>
          <w:i/>
          <w:iCs/>
          <w:sz w:val="20"/>
          <w:szCs w:val="20"/>
        </w:rPr>
        <w:t xml:space="preserve"> </w:t>
      </w:r>
    </w:p>
    <w:p w:rsidR="00000000" w:rsidRDefault="006D723D">
      <w:pPr>
        <w:pStyle w:val="a3"/>
        <w:spacing w:before="120" w:beforeAutospacing="0" w:after="0" w:afterAutospacing="0"/>
        <w:jc w:val="both"/>
        <w:rPr>
          <w:sz w:val="20"/>
          <w:szCs w:val="20"/>
        </w:rPr>
      </w:pPr>
      <w:r>
        <w:rPr>
          <w:sz w:val="20"/>
          <w:szCs w:val="20"/>
        </w:rPr>
        <w:t xml:space="preserve">We have goodwill and other intangible assets resulting from business acquisitions, and we could record additional goodwill and other intangible </w:t>
      </w:r>
      <w:r>
        <w:rPr>
          <w:sz w:val="20"/>
          <w:szCs w:val="20"/>
        </w:rPr>
        <w:t>assets if we consummate additional business acquisitions in the future. We evaluate the carrying value of goodwill annually, and whenever circumstances indicate the carrying value of goodwill may be impaired, as defined by U.S. generally accepted accountin</w:t>
      </w:r>
      <w:r>
        <w:rPr>
          <w:sz w:val="20"/>
          <w:szCs w:val="20"/>
        </w:rPr>
        <w:t>g principles. We will continue to evaluate the goodwill for impairment by performing a qualitative assessment to determine whether the existence of events or circumstances leads to a determination that it is more likely than not that the fair value of a re</w:t>
      </w:r>
      <w:r>
        <w:rPr>
          <w:sz w:val="20"/>
          <w:szCs w:val="20"/>
        </w:rPr>
        <w:t>porting unit is less than its carrying amount. Estimated fair values could change if there are changes in assumptions related to our capital structure and cost of debt and equity and operating cash flows, as well as considerations related to our equity val</w:t>
      </w:r>
      <w:r>
        <w:rPr>
          <w:sz w:val="20"/>
          <w:szCs w:val="20"/>
        </w:rPr>
        <w:t>uation. Impairments of goodwill or other intangible assets could require non-cash charges to our results of operations</w:t>
      </w:r>
      <w:r>
        <w:rPr>
          <w:sz w:val="20"/>
          <w:szCs w:val="20"/>
        </w:rPr>
        <w:t>.</w:t>
      </w:r>
    </w:p>
    <w:p w:rsidR="00000000" w:rsidRDefault="006D723D">
      <w:pPr>
        <w:pStyle w:val="a3"/>
        <w:spacing w:before="240" w:beforeAutospacing="0" w:after="0" w:afterAutospacing="0"/>
        <w:jc w:val="center"/>
        <w:rPr>
          <w:sz w:val="20"/>
          <w:szCs w:val="20"/>
        </w:rPr>
      </w:pPr>
      <w:r>
        <w:rPr>
          <w:sz w:val="20"/>
          <w:szCs w:val="20"/>
        </w:rPr>
        <w:t>4</w:t>
      </w:r>
      <w:r>
        <w:rPr>
          <w:sz w:val="20"/>
          <w:szCs w:val="20"/>
        </w:rPr>
        <w:t>9</w:t>
      </w:r>
    </w:p>
    <w:p w:rsidR="00000000" w:rsidRDefault="006D723D">
      <w:pPr>
        <w:rPr>
          <w:rFonts w:eastAsia="Times New Roman"/>
        </w:rPr>
      </w:pPr>
      <w:r>
        <w:rPr>
          <w:rFonts w:eastAsia="Times New Roman"/>
        </w:rPr>
        <w:pict>
          <v:rect id="_x0000_i1073"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360" w:beforeAutospacing="0" w:after="0" w:afterAutospacing="0"/>
        <w:jc w:val="both"/>
        <w:rPr>
          <w:sz w:val="20"/>
          <w:szCs w:val="20"/>
        </w:rPr>
      </w:pPr>
      <w:r>
        <w:rPr>
          <w:b/>
          <w:bCs/>
          <w:i/>
          <w:iCs/>
          <w:sz w:val="20"/>
          <w:szCs w:val="20"/>
        </w:rPr>
        <w:t>We are dependent upon our senior management and our ability to attract and retain sufficient q</w:t>
      </w:r>
      <w:r>
        <w:rPr>
          <w:b/>
          <w:bCs/>
          <w:i/>
          <w:iCs/>
          <w:sz w:val="20"/>
          <w:szCs w:val="20"/>
        </w:rPr>
        <w:t>ualified personnel</w:t>
      </w:r>
      <w:r>
        <w:rPr>
          <w:b/>
          <w:bCs/>
          <w:i/>
          <w:iCs/>
          <w:sz w:val="20"/>
          <w:szCs w:val="20"/>
        </w:rPr>
        <w:t>.</w:t>
      </w:r>
    </w:p>
    <w:p w:rsidR="00000000" w:rsidRDefault="006D723D">
      <w:pPr>
        <w:pStyle w:val="a3"/>
        <w:spacing w:before="120" w:beforeAutospacing="0" w:after="0" w:afterAutospacing="0"/>
        <w:jc w:val="both"/>
        <w:rPr>
          <w:sz w:val="20"/>
          <w:szCs w:val="20"/>
        </w:rPr>
      </w:pPr>
      <w:r>
        <w:rPr>
          <w:sz w:val="20"/>
          <w:szCs w:val="20"/>
        </w:rPr>
        <w:t>The success of our business depends in large part on the ability and experience of our senior management. The unexpected loss of any of these persons could materially adversely affect our business and operations</w:t>
      </w:r>
      <w:r>
        <w:rPr>
          <w:sz w:val="20"/>
          <w:szCs w:val="20"/>
        </w:rPr>
        <w:t>.</w:t>
      </w:r>
    </w:p>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0" w:beforeAutospacing="0" w:after="0" w:afterAutospacing="0"/>
        <w:jc w:val="both"/>
        <w:rPr>
          <w:sz w:val="20"/>
          <w:szCs w:val="20"/>
        </w:rPr>
      </w:pPr>
      <w:r>
        <w:rPr>
          <w:sz w:val="20"/>
          <w:szCs w:val="20"/>
        </w:rPr>
        <w:t>In addition, the serv</w:t>
      </w:r>
      <w:r>
        <w:rPr>
          <w:sz w:val="20"/>
          <w:szCs w:val="20"/>
        </w:rPr>
        <w:t>ices we provide are labor-intensive. The success of our business, and our ability to satisfy the staffing and operational performance requirements of our contracts, require that we attract, hire, develop and retain sufficient qualified personnel. When we a</w:t>
      </w:r>
      <w:r>
        <w:rPr>
          <w:sz w:val="20"/>
          <w:szCs w:val="20"/>
        </w:rPr>
        <w:t>re awarded a facility management contract or open a new facility, we must hire operating management, correctional officers, and other personnel. Our inability to hire sufficient qualified personnel on a timely basis, or experiencing excessive turnover or t</w:t>
      </w:r>
      <w:r>
        <w:rPr>
          <w:sz w:val="20"/>
          <w:szCs w:val="20"/>
        </w:rPr>
        <w:t>he loss of significant personnel at existing facilities, could adversely affect our business and operations. Many of our contracts include specific staffing requirements, and our failure to satisfy such requirements may result in the imposition of financia</w:t>
      </w:r>
      <w:r>
        <w:rPr>
          <w:sz w:val="20"/>
          <w:szCs w:val="20"/>
        </w:rPr>
        <w:t>l penalties or loss of contract. Staffing challenges have recently been exacerbated by labor shortages in the marketplace</w:t>
      </w:r>
      <w:r>
        <w:rPr>
          <w:sz w:val="20"/>
          <w:szCs w:val="20"/>
        </w:rPr>
        <w:t>.</w:t>
      </w:r>
    </w:p>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0" w:beforeAutospacing="0" w:after="0" w:afterAutospacing="0"/>
        <w:jc w:val="both"/>
        <w:rPr>
          <w:sz w:val="20"/>
          <w:szCs w:val="20"/>
        </w:rPr>
      </w:pPr>
      <w:r>
        <w:rPr>
          <w:sz w:val="20"/>
          <w:szCs w:val="20"/>
        </w:rPr>
        <w:t>We have experienced labor shortages and wage pressures in many markets across the country, and have provided customary inflationary</w:t>
      </w:r>
      <w:r>
        <w:rPr>
          <w:sz w:val="20"/>
          <w:szCs w:val="20"/>
        </w:rPr>
        <w:t xml:space="preserve"> wage increases to remain competitive, including increases to most of our facility staff during July of the last three years since the COVID-19 pandemic started. Recruiting has been particularly challenging during the pandemic due to the front-line nature </w:t>
      </w:r>
      <w:r>
        <w:rPr>
          <w:sz w:val="20"/>
          <w:szCs w:val="20"/>
        </w:rPr>
        <w:t>of the services we provide, and the shortage of nursing staff across the country has intensified as a result of the COVID-19 pandemic, resulting in a significant increase in registry nursing expenses. The challenges of recruiting and retaining staff, inclu</w:t>
      </w:r>
      <w:r>
        <w:rPr>
          <w:sz w:val="20"/>
          <w:szCs w:val="20"/>
        </w:rPr>
        <w:t>ding nursing, has been and could continue to be exacerbated by actions taken or contemplated to be taken by government authorities intended to mitigate the spread of COVID-19 such as health and safety directives or other requirements that apply to us and o</w:t>
      </w:r>
      <w:r>
        <w:rPr>
          <w:sz w:val="20"/>
          <w:szCs w:val="20"/>
        </w:rPr>
        <w:t>ur facilities. Further, we have incurred, and expect to continue to incur, incremental expenses to help ensure sufficient staffing levels under unique and challenging working conditions. In addition, we achieved higher staffing during 2022, as we made inve</w:t>
      </w:r>
      <w:r>
        <w:rPr>
          <w:sz w:val="20"/>
          <w:szCs w:val="20"/>
        </w:rPr>
        <w:t>stments in staffing to prepare us to manage the increased number of residents we anticipate at our facilities once the remaining occupancy restrictions caused by the COVID-19 pandemic are removed. We expect to continue to invest in staffing resources durin</w:t>
      </w:r>
      <w:r>
        <w:rPr>
          <w:sz w:val="20"/>
          <w:szCs w:val="20"/>
        </w:rPr>
        <w:t>g 2023, which may result in additional compensation and incremental expenses. Incremental expenses include, but may not be limited to, incentive payments to our front-line and field staff, temporary employee housing expenses and other travel related reimbu</w:t>
      </w:r>
      <w:r>
        <w:rPr>
          <w:sz w:val="20"/>
          <w:szCs w:val="20"/>
        </w:rPr>
        <w:t>rsements, additional paid time off, off-cycle wage increases in certain markets to remain competitive, further increases in registry nursing expenses, as well as expenses to procure personal protective equipment and other supplies</w:t>
      </w:r>
      <w:r>
        <w:rPr>
          <w:sz w:val="20"/>
          <w:szCs w:val="20"/>
        </w:rPr>
        <w:t>.</w:t>
      </w:r>
    </w:p>
    <w:p w:rsidR="00000000" w:rsidRDefault="006D723D">
      <w:pPr>
        <w:pStyle w:val="a3"/>
        <w:spacing w:before="240" w:beforeAutospacing="0" w:after="0" w:afterAutospacing="0"/>
        <w:jc w:val="both"/>
        <w:rPr>
          <w:sz w:val="20"/>
          <w:szCs w:val="20"/>
        </w:rPr>
      </w:pPr>
      <w:r>
        <w:rPr>
          <w:sz w:val="20"/>
          <w:szCs w:val="20"/>
        </w:rPr>
        <w:t xml:space="preserve">Most federal, state and </w:t>
      </w:r>
      <w:r>
        <w:rPr>
          <w:sz w:val="20"/>
          <w:szCs w:val="20"/>
        </w:rPr>
        <w:t>partner mandates related to COVID-19 vaccination, testing, and preventative measures as applied to our workforce have been lifted or significantly relaxed. However, as federal and state agencies with oversight in areas where we operate review and adopt mor</w:t>
      </w:r>
      <w:r>
        <w:rPr>
          <w:sz w:val="20"/>
          <w:szCs w:val="20"/>
        </w:rPr>
        <w:t>e permanent measures to address the continuing and future potential threat of airborne infections in work environments, it is possible that compliance with future mandates may impose additional compliance and other costs. The requirements could also result</w:t>
      </w:r>
      <w:r>
        <w:rPr>
          <w:sz w:val="20"/>
          <w:szCs w:val="20"/>
        </w:rPr>
        <w:t xml:space="preserve"> in attrition, including attrition of qualified personnel, and difficulty securing future labor needs, which could materially and adversely affect our results of operations, financial condition and cash flows</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5</w:t>
      </w:r>
      <w:r>
        <w:rPr>
          <w:sz w:val="20"/>
          <w:szCs w:val="20"/>
        </w:rPr>
        <w:t>0</w:t>
      </w:r>
    </w:p>
    <w:p w:rsidR="00000000" w:rsidRDefault="006D723D">
      <w:pPr>
        <w:rPr>
          <w:rFonts w:eastAsia="Times New Roman"/>
        </w:rPr>
      </w:pPr>
      <w:r>
        <w:rPr>
          <w:rFonts w:eastAsia="Times New Roman"/>
        </w:rPr>
        <w:pict>
          <v:rect id="_x0000_i1074"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360" w:beforeAutospacing="0" w:after="0" w:afterAutospacing="0"/>
        <w:jc w:val="both"/>
        <w:rPr>
          <w:sz w:val="20"/>
          <w:szCs w:val="20"/>
        </w:rPr>
      </w:pPr>
      <w:r>
        <w:rPr>
          <w:b/>
          <w:bCs/>
          <w:i/>
          <w:iCs/>
          <w:sz w:val="20"/>
          <w:szCs w:val="20"/>
        </w:rPr>
        <w:t>We a</w:t>
      </w:r>
      <w:r>
        <w:rPr>
          <w:b/>
          <w:bCs/>
          <w:i/>
          <w:iCs/>
          <w:sz w:val="20"/>
          <w:szCs w:val="20"/>
        </w:rPr>
        <w:t>re subject to various types of litigation</w:t>
      </w:r>
      <w:r>
        <w:rPr>
          <w:b/>
          <w:bCs/>
          <w:i/>
          <w:iCs/>
          <w:sz w:val="20"/>
          <w:szCs w:val="20"/>
        </w:rPr>
        <w:t>.</w:t>
      </w:r>
    </w:p>
    <w:p w:rsidR="00000000" w:rsidRDefault="006D723D">
      <w:pPr>
        <w:pStyle w:val="a3"/>
        <w:spacing w:before="120" w:beforeAutospacing="0" w:after="0" w:afterAutospacing="0"/>
        <w:jc w:val="both"/>
        <w:rPr>
          <w:sz w:val="20"/>
          <w:szCs w:val="20"/>
        </w:rPr>
      </w:pPr>
      <w:r>
        <w:rPr>
          <w:i/>
          <w:iCs/>
          <w:sz w:val="20"/>
          <w:szCs w:val="20"/>
        </w:rPr>
        <w:t>Legal proceedings related to, and adverse developments in our relationship with, our employees could adversely affect our business, financial condition or results of operations</w:t>
      </w:r>
      <w:r>
        <w:rPr>
          <w:i/>
          <w:iCs/>
          <w:sz w:val="20"/>
          <w:szCs w:val="20"/>
        </w:rPr>
        <w:t>.</w:t>
      </w:r>
      <w:r>
        <w:rPr>
          <w:sz w:val="20"/>
          <w:szCs w:val="20"/>
        </w:rPr>
        <w:t xml:space="preserve"> We and our subsidiaries are party t</w:t>
      </w:r>
      <w:r>
        <w:rPr>
          <w:sz w:val="20"/>
          <w:szCs w:val="20"/>
        </w:rPr>
        <w:t>o a variety of claims and legal proceedings in the ordinary course of business, including but not limited to claims and legal proceedings related to employment matters. Because the resolution of claims and legal proceedings is inherently uncertain, there c</w:t>
      </w:r>
      <w:r>
        <w:rPr>
          <w:sz w:val="20"/>
          <w:szCs w:val="20"/>
        </w:rPr>
        <w:t xml:space="preserve">an be no assurance we will be successful in defending against such claims or legal proceedings, or that management's assessment of the materiality of these matters, including the reserves taken in connection therewith, will be consistent with the ultimate </w:t>
      </w:r>
      <w:r>
        <w:rPr>
          <w:sz w:val="20"/>
          <w:szCs w:val="20"/>
        </w:rPr>
        <w:t>outcome of such claims or legal proceedings. In the event management's assessment of materiality of current claims and legal proceedings proves inaccurate or litigation that is material arises in the future, the resolution of such matters may have an adver</w:t>
      </w:r>
      <w:r>
        <w:rPr>
          <w:sz w:val="20"/>
          <w:szCs w:val="20"/>
        </w:rPr>
        <w:t>se impact on our business, financial condition or results of operations</w:t>
      </w:r>
      <w:r>
        <w:rPr>
          <w:sz w:val="20"/>
          <w:szCs w:val="20"/>
        </w:rPr>
        <w:t>.</w:t>
      </w:r>
    </w:p>
    <w:p w:rsidR="00000000" w:rsidRDefault="006D723D">
      <w:pPr>
        <w:pStyle w:val="a3"/>
        <w:spacing w:before="240" w:beforeAutospacing="0" w:after="0" w:afterAutospacing="0"/>
        <w:jc w:val="both"/>
        <w:rPr>
          <w:sz w:val="20"/>
          <w:szCs w:val="20"/>
        </w:rPr>
      </w:pPr>
      <w:r>
        <w:rPr>
          <w:sz w:val="20"/>
          <w:szCs w:val="20"/>
        </w:rPr>
        <w:t>As of December 31, 2022, we employed 11,144 full- and part-time employees, including at our transportation and electronic monitoring subsidiaries, TransCor and Recovery Monitoring Sol</w:t>
      </w:r>
      <w:r>
        <w:rPr>
          <w:sz w:val="20"/>
          <w:szCs w:val="20"/>
        </w:rPr>
        <w:t>utions Corporation, respectively. Approximately 1,420 of our employees at eight of our facilities, or approximately 12.7% of our workforce, are represented by labor unions. All of our collective bargaining agreements contain no-strike clauses that bind the</w:t>
      </w:r>
      <w:r>
        <w:rPr>
          <w:sz w:val="20"/>
          <w:szCs w:val="20"/>
        </w:rPr>
        <w:t xml:space="preserve"> unions and the bargaining unit employees. Work stoppages at any of our facilities are exceedingly rare. In the opinion of management, overall employee relations are good. New executive orders, administrative rules and changes in National Labor Relations c</w:t>
      </w:r>
      <w:r>
        <w:rPr>
          <w:sz w:val="20"/>
          <w:szCs w:val="20"/>
        </w:rPr>
        <w:t>ould increase organizing activity at locations where employees are currently not represented by a labor organization. Increases in organizational activity or any future work stoppages could have an adverse impact on our business, financial condition, or re</w:t>
      </w:r>
      <w:r>
        <w:rPr>
          <w:sz w:val="20"/>
          <w:szCs w:val="20"/>
        </w:rPr>
        <w:t>sults of operations</w:t>
      </w:r>
      <w:r>
        <w:rPr>
          <w:sz w:val="20"/>
          <w:szCs w:val="20"/>
        </w:rPr>
        <w:t>.</w:t>
      </w:r>
    </w:p>
    <w:p w:rsidR="00000000" w:rsidRDefault="006D723D">
      <w:pPr>
        <w:pStyle w:val="a3"/>
        <w:spacing w:before="240" w:beforeAutospacing="0" w:after="0" w:afterAutospacing="0"/>
        <w:jc w:val="both"/>
        <w:rPr>
          <w:sz w:val="20"/>
          <w:szCs w:val="20"/>
        </w:rPr>
      </w:pPr>
      <w:r>
        <w:rPr>
          <w:i/>
          <w:iCs/>
          <w:sz w:val="20"/>
          <w:szCs w:val="20"/>
        </w:rPr>
        <w:t>We are subject to legal proceedings associated with owning and managing correctional, detention, and residential reentry facilities</w:t>
      </w:r>
      <w:r>
        <w:rPr>
          <w:i/>
          <w:iCs/>
          <w:sz w:val="20"/>
          <w:szCs w:val="20"/>
        </w:rPr>
        <w:t>.</w:t>
      </w:r>
      <w:r>
        <w:rPr>
          <w:sz w:val="20"/>
          <w:szCs w:val="20"/>
        </w:rPr>
        <w:t xml:space="preserve"> Our ownership and management of correctional, detention, and residential reentry facilities, and the p</w:t>
      </w:r>
      <w:r>
        <w:rPr>
          <w:sz w:val="20"/>
          <w:szCs w:val="20"/>
        </w:rPr>
        <w:t>rovision of inmate transportation services by a subsidiary, expose us to potential third-party claims or litigation by prisoners or other persons relating to personal injury, illness, or other damages resulting from contact with a facility, its managers, p</w:t>
      </w:r>
      <w:r>
        <w:rPr>
          <w:sz w:val="20"/>
          <w:szCs w:val="20"/>
        </w:rPr>
        <w:t>ersonnel or other prisoners, including damages arising from a prisoner's escape from, or a disturbance or riot at, a facility we own or manage, from the misconduct of our employees, or the failure to prevent or detect the introduction of contraband and pro</w:t>
      </w:r>
      <w:r>
        <w:rPr>
          <w:sz w:val="20"/>
          <w:szCs w:val="20"/>
        </w:rPr>
        <w:t>hibited substances. To the extent the events serving as a basis for any potential claims are alleged or determined to constitute illegal or criminal activity, we could also be subject to criminal liability. Such liability could result in significant moneta</w:t>
      </w:r>
      <w:r>
        <w:rPr>
          <w:sz w:val="20"/>
          <w:szCs w:val="20"/>
        </w:rPr>
        <w:t>ry fines and could affect our ability to bid on future contracts and retain our existing contracts. In addition, as an owner of real property, we may be subject to a variety of proceedings relating to personal injuries of persons at such facilities. The cl</w:t>
      </w:r>
      <w:r>
        <w:rPr>
          <w:sz w:val="20"/>
          <w:szCs w:val="20"/>
        </w:rPr>
        <w:t>aims against our facilities may be significant and may not be covered by insurance. Even in cases covered by insurance, our deductible (or self-insured retention) may be significant</w:t>
      </w:r>
      <w:r>
        <w:rPr>
          <w:sz w:val="20"/>
          <w:szCs w:val="20"/>
        </w:rPr>
        <w:t>.</w:t>
      </w:r>
    </w:p>
    <w:p w:rsidR="00000000" w:rsidRDefault="006D723D">
      <w:pPr>
        <w:pStyle w:val="a3"/>
        <w:spacing w:before="360" w:beforeAutospacing="0" w:after="0" w:afterAutospacing="0"/>
        <w:jc w:val="both"/>
        <w:rPr>
          <w:sz w:val="20"/>
          <w:szCs w:val="20"/>
        </w:rPr>
      </w:pPr>
      <w:r>
        <w:rPr>
          <w:b/>
          <w:bCs/>
          <w:i/>
          <w:iCs/>
          <w:sz w:val="20"/>
          <w:szCs w:val="20"/>
        </w:rPr>
        <w:t>We are subject to necessary insurance costs</w:t>
      </w:r>
      <w:r>
        <w:rPr>
          <w:b/>
          <w:bCs/>
          <w:i/>
          <w:iCs/>
          <w:sz w:val="20"/>
          <w:szCs w:val="20"/>
        </w:rPr>
        <w:t>.</w:t>
      </w:r>
    </w:p>
    <w:p w:rsidR="00000000" w:rsidRDefault="006D723D">
      <w:pPr>
        <w:pStyle w:val="a3"/>
        <w:spacing w:before="120" w:beforeAutospacing="0" w:after="0" w:afterAutospacing="0"/>
        <w:jc w:val="both"/>
        <w:rPr>
          <w:sz w:val="20"/>
          <w:szCs w:val="20"/>
        </w:rPr>
      </w:pPr>
      <w:r>
        <w:rPr>
          <w:sz w:val="20"/>
          <w:szCs w:val="20"/>
        </w:rPr>
        <w:t>Workers' compensation, auto liability, employee health, and general liability insurance represent significant costs to us. Because we are significantly self-insured for workers' compensation, auto liability, emp</w:t>
      </w:r>
      <w:r>
        <w:rPr>
          <w:sz w:val="20"/>
          <w:szCs w:val="20"/>
        </w:rPr>
        <w:t>loyee health, and general liability risks, the amount of our insurance expense is dependent on claims experience, our ability to control our claims experience, and in the case of workers' compensation and employee health, rising health care costs in genera</w:t>
      </w:r>
      <w:r>
        <w:rPr>
          <w:sz w:val="20"/>
          <w:szCs w:val="20"/>
        </w:rPr>
        <w:t>l. Unanticipated additional insurance costs could adversely impact our results of operations and cash flows, and the failure to obtain or maintain any necessary insurance coverage could have an adverse impact on us</w:t>
      </w:r>
      <w:r>
        <w:rPr>
          <w:sz w:val="20"/>
          <w:szCs w:val="20"/>
        </w:rPr>
        <w:t>.</w:t>
      </w:r>
    </w:p>
    <w:p w:rsidR="00000000" w:rsidRDefault="006D723D">
      <w:pPr>
        <w:pStyle w:val="a3"/>
        <w:spacing w:before="360" w:beforeAutospacing="0" w:after="0" w:afterAutospacing="0"/>
        <w:jc w:val="both"/>
        <w:rPr>
          <w:sz w:val="20"/>
          <w:szCs w:val="20"/>
        </w:rPr>
      </w:pPr>
      <w:r>
        <w:rPr>
          <w:b/>
          <w:bCs/>
          <w:i/>
          <w:iCs/>
          <w:sz w:val="20"/>
          <w:szCs w:val="20"/>
        </w:rPr>
        <w:t>We may be adversely affected by inflatio</w:t>
      </w:r>
      <w:r>
        <w:rPr>
          <w:b/>
          <w:bCs/>
          <w:i/>
          <w:iCs/>
          <w:sz w:val="20"/>
          <w:szCs w:val="20"/>
        </w:rPr>
        <w:t>n</w:t>
      </w:r>
      <w:r>
        <w:rPr>
          <w:b/>
          <w:bCs/>
          <w:i/>
          <w:iCs/>
          <w:sz w:val="20"/>
          <w:szCs w:val="20"/>
        </w:rPr>
        <w:t>.</w:t>
      </w:r>
    </w:p>
    <w:p w:rsidR="00000000" w:rsidRDefault="006D723D">
      <w:pPr>
        <w:pStyle w:val="a3"/>
        <w:spacing w:before="120" w:beforeAutospacing="0" w:after="0" w:afterAutospacing="0"/>
        <w:jc w:val="both"/>
        <w:rPr>
          <w:sz w:val="20"/>
          <w:szCs w:val="20"/>
        </w:rPr>
      </w:pPr>
      <w:r>
        <w:rPr>
          <w:sz w:val="20"/>
          <w:szCs w:val="20"/>
        </w:rPr>
        <w:t>Many of our facility contracts provide for fixed fees or fees that increase by only small amounts during their terms. If, due to inflation or other causes, our operating expenses, such as wages and salaries of our employees, insurance, medical, and food</w:t>
      </w:r>
      <w:r>
        <w:rPr>
          <w:sz w:val="20"/>
          <w:szCs w:val="20"/>
        </w:rPr>
        <w:t xml:space="preserve"> costs, increase at rates faster than increases, if any, in our revenues, then our profitability would be adversely affected. We have experienced increases in personnel costs and expect the labor market to remain challenging, which could have a material ad</w:t>
      </w:r>
      <w:r>
        <w:rPr>
          <w:sz w:val="20"/>
          <w:szCs w:val="20"/>
        </w:rPr>
        <w:t xml:space="preserve">verse effect on our operations. See </w:t>
      </w:r>
      <w:r>
        <w:rPr>
          <w:sz w:val="20"/>
          <w:szCs w:val="20"/>
        </w:rPr>
        <w:t>"</w:t>
      </w:r>
      <w:r>
        <w:rPr>
          <w:i/>
          <w:iCs/>
          <w:sz w:val="20"/>
          <w:szCs w:val="20"/>
        </w:rPr>
        <w:t xml:space="preserve">Part II, Item 7. Management's Discussion and Analysis of Financial Condition and Results of Operations – Results of Operations and Management's Discussion and Analysis of Financial Condition and Results of Operations – </w:t>
      </w:r>
      <w:r>
        <w:rPr>
          <w:i/>
          <w:iCs/>
          <w:sz w:val="20"/>
          <w:szCs w:val="20"/>
        </w:rPr>
        <w:t>Inflation</w:t>
      </w:r>
      <w:r>
        <w:rPr>
          <w:i/>
          <w:iCs/>
          <w:sz w:val="20"/>
          <w:szCs w:val="20"/>
        </w:rPr>
        <w:t>.</w:t>
      </w:r>
      <w:r>
        <w:rPr>
          <w:sz w:val="20"/>
          <w:szCs w:val="20"/>
        </w:rPr>
        <w:t>"</w:t>
      </w:r>
    </w:p>
    <w:p w:rsidR="00000000" w:rsidRDefault="006D723D">
      <w:pPr>
        <w:pStyle w:val="a3"/>
        <w:spacing w:before="120" w:beforeAutospacing="0" w:after="0" w:afterAutospacing="0"/>
        <w:jc w:val="both"/>
        <w:rPr>
          <w:sz w:val="20"/>
          <w:szCs w:val="20"/>
        </w:rPr>
      </w:pPr>
      <w:r>
        <w:rPr>
          <w:sz w:val="20"/>
          <w:szCs w:val="20"/>
        </w:rPr>
        <w:t> </w:t>
      </w:r>
    </w:p>
    <w:p w:rsidR="00000000" w:rsidRDefault="006D723D">
      <w:pPr>
        <w:pStyle w:val="a3"/>
        <w:spacing w:before="240" w:beforeAutospacing="0" w:after="0" w:afterAutospacing="0"/>
        <w:jc w:val="center"/>
        <w:rPr>
          <w:sz w:val="20"/>
          <w:szCs w:val="20"/>
        </w:rPr>
      </w:pPr>
      <w:r>
        <w:rPr>
          <w:sz w:val="20"/>
          <w:szCs w:val="20"/>
        </w:rPr>
        <w:t>5</w:t>
      </w:r>
      <w:r>
        <w:rPr>
          <w:sz w:val="20"/>
          <w:szCs w:val="20"/>
        </w:rPr>
        <w:t>1</w:t>
      </w:r>
    </w:p>
    <w:p w:rsidR="00000000" w:rsidRDefault="006D723D">
      <w:pPr>
        <w:rPr>
          <w:rFonts w:eastAsia="Times New Roman"/>
        </w:rPr>
      </w:pPr>
      <w:r>
        <w:rPr>
          <w:rFonts w:eastAsia="Times New Roman"/>
        </w:rPr>
        <w:pict>
          <v:rect id="_x0000_i1075"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jc w:val="both"/>
        <w:rPr>
          <w:sz w:val="20"/>
          <w:szCs w:val="20"/>
        </w:rPr>
      </w:pPr>
      <w:r>
        <w:rPr>
          <w:b/>
          <w:bCs/>
          <w:i/>
          <w:iCs/>
          <w:sz w:val="20"/>
          <w:szCs w:val="20"/>
        </w:rPr>
        <w:t>We depend in part on the performance and capabilities of third parties with whom we have commercial relationships</w:t>
      </w:r>
      <w:r>
        <w:rPr>
          <w:b/>
          <w:bCs/>
          <w:i/>
          <w:iCs/>
          <w:sz w:val="20"/>
          <w:szCs w:val="20"/>
        </w:rPr>
        <w:t>.</w:t>
      </w:r>
    </w:p>
    <w:p w:rsidR="00000000" w:rsidRDefault="006D723D">
      <w:pPr>
        <w:pStyle w:val="a3"/>
        <w:spacing w:before="120" w:beforeAutospacing="0" w:after="0" w:afterAutospacing="0"/>
        <w:jc w:val="both"/>
        <w:rPr>
          <w:sz w:val="20"/>
          <w:szCs w:val="20"/>
        </w:rPr>
      </w:pPr>
      <w:r>
        <w:rPr>
          <w:sz w:val="20"/>
          <w:szCs w:val="20"/>
        </w:rPr>
        <w:t>We maintain business relationships with key partners, suppliers, channel partners and</w:t>
      </w:r>
      <w:r>
        <w:rPr>
          <w:sz w:val="20"/>
          <w:szCs w:val="20"/>
        </w:rPr>
        <w:t xml:space="preserve"> other parties that have complementary products, services or skills. We depend, in part, on the performance and capabilities of these third parties and on the financial condition of, and our relationship with, distributors and other indirect channel partne</w:t>
      </w:r>
      <w:r>
        <w:rPr>
          <w:sz w:val="20"/>
          <w:szCs w:val="20"/>
        </w:rPr>
        <w:t>rs, which can affect our capacity to effectively and efficiently serve current and potential government partners. Additionally, cost inflation and supply chain disruptions may lead to higher labor and other costs, as well as an inability to procure product</w:t>
      </w:r>
      <w:r>
        <w:rPr>
          <w:sz w:val="20"/>
          <w:szCs w:val="20"/>
        </w:rPr>
        <w:t>s needed to deliver the services we provide, which could adversely affect our results of operations</w:t>
      </w:r>
      <w:r>
        <w:rPr>
          <w:sz w:val="20"/>
          <w:szCs w:val="20"/>
        </w:rPr>
        <w:t>.</w:t>
      </w:r>
    </w:p>
    <w:p w:rsidR="00000000" w:rsidRDefault="006D723D">
      <w:pPr>
        <w:pStyle w:val="a3"/>
        <w:spacing w:before="360" w:beforeAutospacing="0" w:after="0" w:afterAutospacing="0"/>
        <w:jc w:val="both"/>
        <w:rPr>
          <w:sz w:val="20"/>
          <w:szCs w:val="20"/>
        </w:rPr>
      </w:pPr>
      <w:r>
        <w:rPr>
          <w:b/>
          <w:bCs/>
          <w:i/>
          <w:iCs/>
          <w:sz w:val="20"/>
          <w:szCs w:val="20"/>
        </w:rPr>
        <w:t>Technological changes or negative changes in the level of acceptance of, or resistance to, the use of electronic monitoring products could cause our electr</w:t>
      </w:r>
      <w:r>
        <w:rPr>
          <w:b/>
          <w:bCs/>
          <w:i/>
          <w:iCs/>
          <w:sz w:val="20"/>
          <w:szCs w:val="20"/>
        </w:rPr>
        <w:t>onic monitoring products and other technology to become obsolete or require the redesign of our electronic monitoring products, which could have an adverse effect on our business</w:t>
      </w:r>
      <w:r>
        <w:rPr>
          <w:b/>
          <w:bCs/>
          <w:i/>
          <w:iCs/>
          <w:sz w:val="20"/>
          <w:szCs w:val="20"/>
        </w:rPr>
        <w:t>.</w:t>
      </w:r>
    </w:p>
    <w:p w:rsidR="00000000" w:rsidRDefault="006D723D">
      <w:pPr>
        <w:pStyle w:val="a3"/>
        <w:spacing w:before="120" w:beforeAutospacing="0" w:after="0" w:afterAutospacing="0"/>
        <w:jc w:val="both"/>
        <w:rPr>
          <w:sz w:val="20"/>
          <w:szCs w:val="20"/>
        </w:rPr>
      </w:pPr>
      <w:r>
        <w:rPr>
          <w:sz w:val="20"/>
          <w:szCs w:val="20"/>
        </w:rPr>
        <w:t xml:space="preserve">Technological changes within our electronic monitoring business may require </w:t>
      </w:r>
      <w:r>
        <w:rPr>
          <w:sz w:val="20"/>
          <w:szCs w:val="20"/>
        </w:rPr>
        <w:t>us to expend resources in an effort to acquire, maintain and/or utilize new electronic monitoring products and technology. We may not be able to anticipate or respond to technological changes in a timely manner, and our response may not result in successfu</w:t>
      </w:r>
      <w:r>
        <w:rPr>
          <w:sz w:val="20"/>
          <w:szCs w:val="20"/>
        </w:rPr>
        <w:t>l electronic monitoring product offerings. If we are unable to anticipate or timely respond to technological changes, our business could be adversely affected. Further, our business could be adversely affected if the level of acceptance of or resistance to</w:t>
      </w:r>
      <w:r>
        <w:rPr>
          <w:sz w:val="20"/>
          <w:szCs w:val="20"/>
        </w:rPr>
        <w:t xml:space="preserve"> the use of electronic monitoring products and services by governmental customers were to change over time in a negative manner so that governmental customers decide to decrease their usage levels and contracting for electronic monitoring products and serv</w:t>
      </w:r>
      <w:r>
        <w:rPr>
          <w:sz w:val="20"/>
          <w:szCs w:val="20"/>
        </w:rPr>
        <w:t>ices</w:t>
      </w:r>
      <w:r>
        <w:rPr>
          <w:sz w:val="20"/>
          <w:szCs w:val="20"/>
        </w:rPr>
        <w:t>.</w:t>
      </w:r>
      <w:r>
        <w:rPr>
          <w:sz w:val="20"/>
          <w:szCs w:val="20"/>
        </w:rPr>
        <w:t xml:space="preserve"> </w:t>
      </w:r>
    </w:p>
    <w:p w:rsidR="00000000" w:rsidRDefault="006D723D">
      <w:pPr>
        <w:pStyle w:val="a3"/>
        <w:spacing w:before="360" w:beforeAutospacing="0" w:after="0" w:afterAutospacing="0"/>
        <w:jc w:val="both"/>
        <w:rPr>
          <w:sz w:val="20"/>
          <w:szCs w:val="20"/>
        </w:rPr>
      </w:pPr>
      <w:r>
        <w:rPr>
          <w:b/>
          <w:bCs/>
          <w:i/>
          <w:iCs/>
          <w:sz w:val="20"/>
          <w:szCs w:val="20"/>
        </w:rPr>
        <w:t>We depend on a limited number of third parties to manufacture and supply our electronic monitoring products. If our suppliers cannot provide the products or services we require in a timely manner and with such quality as we expect, our ability to ma</w:t>
      </w:r>
      <w:r>
        <w:rPr>
          <w:b/>
          <w:bCs/>
          <w:i/>
          <w:iCs/>
          <w:sz w:val="20"/>
          <w:szCs w:val="20"/>
        </w:rPr>
        <w:t>rket and sell our electronic monitoring products and services could be harmed</w:t>
      </w:r>
      <w:r>
        <w:rPr>
          <w:b/>
          <w:bCs/>
          <w:i/>
          <w:iCs/>
          <w:sz w:val="20"/>
          <w:szCs w:val="20"/>
        </w:rPr>
        <w:t>.</w:t>
      </w:r>
    </w:p>
    <w:p w:rsidR="00000000" w:rsidRDefault="006D723D">
      <w:pPr>
        <w:pStyle w:val="a3"/>
        <w:spacing w:before="120" w:beforeAutospacing="0" w:after="0" w:afterAutospacing="0"/>
        <w:jc w:val="both"/>
        <w:rPr>
          <w:sz w:val="20"/>
          <w:szCs w:val="20"/>
        </w:rPr>
      </w:pPr>
      <w:r>
        <w:rPr>
          <w:sz w:val="20"/>
          <w:szCs w:val="20"/>
        </w:rPr>
        <w:t>If our suppliers fail to supply, in a timely manner, electronic monitoring products that meet our quantity, quality, cost requirements, or technical specifications, we may not b</w:t>
      </w:r>
      <w:r>
        <w:rPr>
          <w:sz w:val="20"/>
          <w:szCs w:val="20"/>
        </w:rPr>
        <w:t>e able to access alternative sources of these products within a reasonable period of time or at commercially reasonable rates. A reduction or interruption in the supply of such products, or a significant increase in the price of such products, including as</w:t>
      </w:r>
      <w:r>
        <w:rPr>
          <w:sz w:val="20"/>
          <w:szCs w:val="20"/>
        </w:rPr>
        <w:t xml:space="preserve"> a result of supply chain delays, could have an adverse impact on our marketing and sales initiatives, which could adversely affect our financial condition and results of operations. In addition, contracts with such suppliers may not continue to be availab</w:t>
      </w:r>
      <w:r>
        <w:rPr>
          <w:sz w:val="20"/>
          <w:szCs w:val="20"/>
        </w:rPr>
        <w:t>le on acceptable terms or at all</w:t>
      </w:r>
      <w:r>
        <w:rPr>
          <w:sz w:val="20"/>
          <w:szCs w:val="20"/>
        </w:rPr>
        <w:t>.</w:t>
      </w:r>
    </w:p>
    <w:p w:rsidR="00000000" w:rsidRDefault="006D723D">
      <w:pPr>
        <w:pStyle w:val="a3"/>
        <w:spacing w:before="360" w:beforeAutospacing="0" w:after="0" w:afterAutospacing="0"/>
        <w:jc w:val="both"/>
        <w:rPr>
          <w:sz w:val="20"/>
          <w:szCs w:val="20"/>
        </w:rPr>
      </w:pPr>
      <w:r>
        <w:rPr>
          <w:b/>
          <w:bCs/>
          <w:i/>
          <w:iCs/>
          <w:sz w:val="20"/>
          <w:szCs w:val="20"/>
        </w:rPr>
        <w:t>We may be subject to costly product liability claims from the use of our electronic monitoring products, which could damage our reputation, impair the marketability of our products and services and force us to pay costs an</w:t>
      </w:r>
      <w:r>
        <w:rPr>
          <w:b/>
          <w:bCs/>
          <w:i/>
          <w:iCs/>
          <w:sz w:val="20"/>
          <w:szCs w:val="20"/>
        </w:rPr>
        <w:t>d damages that may not be covered by adequate insurance</w:t>
      </w:r>
      <w:r>
        <w:rPr>
          <w:b/>
          <w:bCs/>
          <w:i/>
          <w:iCs/>
          <w:sz w:val="20"/>
          <w:szCs w:val="20"/>
        </w:rPr>
        <w:t>.</w:t>
      </w:r>
    </w:p>
    <w:p w:rsidR="00000000" w:rsidRDefault="006D723D">
      <w:pPr>
        <w:pStyle w:val="a3"/>
        <w:spacing w:before="120" w:beforeAutospacing="0" w:after="0" w:afterAutospacing="0"/>
        <w:jc w:val="both"/>
        <w:rPr>
          <w:sz w:val="20"/>
          <w:szCs w:val="20"/>
        </w:rPr>
      </w:pPr>
      <w:r>
        <w:rPr>
          <w:sz w:val="20"/>
          <w:szCs w:val="20"/>
        </w:rPr>
        <w:t>The operation of our electronic monitoring products and services entails a risk of product liability. We could be subject to product liability claims to the extent these electronic monitoring product</w:t>
      </w:r>
      <w:r>
        <w:rPr>
          <w:sz w:val="20"/>
          <w:szCs w:val="20"/>
        </w:rPr>
        <w:t>s fail to perform as intended. Even unsuccessful claims against us could result in the expenditure of funds in litigation, the diversion of management time and resources, damage to our reputation and impairment of the marketability of our electronic monito</w:t>
      </w:r>
      <w:r>
        <w:rPr>
          <w:sz w:val="20"/>
          <w:szCs w:val="20"/>
        </w:rPr>
        <w:t>ring products and services. While we maintain liability insurance, it is possible that a successful claim could be made against us, that the amount of our insurance coverage would not be adequate to cover the costs of defending against or paying such a cla</w:t>
      </w:r>
      <w:r>
        <w:rPr>
          <w:sz w:val="20"/>
          <w:szCs w:val="20"/>
        </w:rPr>
        <w:t>im, and that damages payable by us would harm our business</w:t>
      </w:r>
      <w:r>
        <w:rPr>
          <w:sz w:val="20"/>
          <w:szCs w:val="20"/>
        </w:rPr>
        <w:t>.</w:t>
      </w:r>
    </w:p>
    <w:p w:rsidR="00000000" w:rsidRDefault="006D723D">
      <w:pPr>
        <w:pStyle w:val="a3"/>
        <w:spacing w:before="360" w:beforeAutospacing="0" w:after="0" w:afterAutospacing="0"/>
        <w:jc w:val="both"/>
        <w:rPr>
          <w:sz w:val="20"/>
          <w:szCs w:val="20"/>
        </w:rPr>
      </w:pPr>
      <w:r>
        <w:rPr>
          <w:b/>
          <w:bCs/>
          <w:i/>
          <w:iCs/>
          <w:sz w:val="20"/>
          <w:szCs w:val="20"/>
        </w:rPr>
        <w:t>We are subject to risks associated with ownership of real estate</w:t>
      </w:r>
      <w:r>
        <w:rPr>
          <w:b/>
          <w:bCs/>
          <w:i/>
          <w:iCs/>
          <w:sz w:val="20"/>
          <w:szCs w:val="20"/>
        </w:rPr>
        <w:t>.</w:t>
      </w:r>
    </w:p>
    <w:p w:rsidR="00000000" w:rsidRDefault="006D723D">
      <w:pPr>
        <w:pStyle w:val="a3"/>
        <w:spacing w:before="120" w:beforeAutospacing="0" w:after="0" w:afterAutospacing="0"/>
        <w:jc w:val="both"/>
        <w:rPr>
          <w:sz w:val="20"/>
          <w:szCs w:val="20"/>
        </w:rPr>
      </w:pPr>
      <w:r>
        <w:rPr>
          <w:sz w:val="20"/>
          <w:szCs w:val="20"/>
        </w:rPr>
        <w:t>Our ownership of correctional, detention, and residential reentry facilities and other government-leased assets subjects us to ris</w:t>
      </w:r>
      <w:r>
        <w:rPr>
          <w:sz w:val="20"/>
          <w:szCs w:val="20"/>
        </w:rPr>
        <w:t>ks typically associated with investments in real estate. Investments in real estate and, in particular, correctional and detention facilities have limited or no alternative use and thus are relatively illiquid. Therefore, our ability to divest ourselves of</w:t>
      </w:r>
      <w:r>
        <w:rPr>
          <w:sz w:val="20"/>
          <w:szCs w:val="20"/>
        </w:rPr>
        <w:t xml:space="preserve"> one or more of our facilities promptly in response to changing conditions is limited. Investments in real estate properties subject us to risks involving potential exposure to environmental liability and uninsured loss. Our operating costs may be affected</w:t>
      </w:r>
      <w:r>
        <w:rPr>
          <w:sz w:val="20"/>
          <w:szCs w:val="20"/>
        </w:rPr>
        <w:t xml:space="preserve"> by the obligation to pay for the cost of complying with existing environmental laws, ordinances and regulations, as well as the cost of complying with future legislation. In addition, although we maintai</w:t>
      </w:r>
      <w:r>
        <w:rPr>
          <w:sz w:val="20"/>
          <w:szCs w:val="20"/>
        </w:rPr>
        <w:t>n</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5</w:t>
      </w:r>
      <w:r>
        <w:rPr>
          <w:sz w:val="20"/>
          <w:szCs w:val="20"/>
        </w:rPr>
        <w:t>2</w:t>
      </w:r>
    </w:p>
    <w:p w:rsidR="00000000" w:rsidRDefault="006D723D">
      <w:pPr>
        <w:rPr>
          <w:rFonts w:eastAsia="Times New Roman"/>
        </w:rPr>
      </w:pPr>
      <w:r>
        <w:rPr>
          <w:rFonts w:eastAsia="Times New Roman"/>
        </w:rPr>
        <w:pict>
          <v:rect id="_x0000_i1076"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120" w:beforeAutospacing="0" w:after="0" w:afterAutospacing="0"/>
        <w:jc w:val="both"/>
        <w:rPr>
          <w:sz w:val="20"/>
          <w:szCs w:val="20"/>
        </w:rPr>
      </w:pPr>
      <w:r>
        <w:rPr>
          <w:sz w:val="20"/>
          <w:szCs w:val="20"/>
        </w:rPr>
        <w:t>insurance for many types of losses, there are certain types of losses, such as losses from earthquakes and acts of terrorism, which may be either uninsurable or for which it may not be economically feasible to obtain insurance coverage in light of the subs</w:t>
      </w:r>
      <w:r>
        <w:rPr>
          <w:sz w:val="20"/>
          <w:szCs w:val="20"/>
        </w:rPr>
        <w:t xml:space="preserve">tantial costs associated with such insurance. As a result, we could lose both our capital invested in, and anticipated profits from, one or more of the properties we own. Further, it is possible to experience losses that may exceed the limits of insurance </w:t>
      </w:r>
      <w:r>
        <w:rPr>
          <w:sz w:val="20"/>
          <w:szCs w:val="20"/>
        </w:rPr>
        <w:t>coverage</w:t>
      </w:r>
      <w:r>
        <w:rPr>
          <w:sz w:val="20"/>
          <w:szCs w:val="20"/>
        </w:rPr>
        <w:t>.</w:t>
      </w:r>
    </w:p>
    <w:p w:rsidR="00000000" w:rsidRDefault="006D723D">
      <w:pPr>
        <w:pStyle w:val="a3"/>
        <w:spacing w:before="240" w:beforeAutospacing="0" w:after="0" w:afterAutospacing="0"/>
        <w:jc w:val="both"/>
        <w:rPr>
          <w:sz w:val="20"/>
          <w:szCs w:val="20"/>
        </w:rPr>
      </w:pPr>
      <w:r>
        <w:rPr>
          <w:sz w:val="20"/>
          <w:szCs w:val="20"/>
        </w:rPr>
        <w:t>The primary risk we face for asset impairment charges is associated with real estate that we own. As of December 31, 2022, we had $2.2 billion in property and equipment, including $202.1 million in long-lived assets at eight idled CoreCivic Safet</w:t>
      </w:r>
      <w:r>
        <w:rPr>
          <w:sz w:val="20"/>
          <w:szCs w:val="20"/>
        </w:rPr>
        <w:t>y facilities and two idled CoreCivic Community facilities. We can provide no assurance that we will be able to secure agreements to utilize our idle properties, or that we will not incur impairment charges in the future</w:t>
      </w:r>
      <w:r>
        <w:rPr>
          <w:sz w:val="20"/>
          <w:szCs w:val="20"/>
        </w:rPr>
        <w:t>.</w:t>
      </w:r>
    </w:p>
    <w:p w:rsidR="00000000" w:rsidRDefault="006D723D">
      <w:pPr>
        <w:pStyle w:val="a3"/>
        <w:spacing w:before="240" w:beforeAutospacing="0" w:after="0" w:afterAutospacing="0"/>
        <w:jc w:val="both"/>
        <w:rPr>
          <w:sz w:val="20"/>
          <w:szCs w:val="20"/>
        </w:rPr>
      </w:pPr>
      <w:r>
        <w:rPr>
          <w:i/>
          <w:iCs/>
          <w:sz w:val="20"/>
          <w:szCs w:val="20"/>
        </w:rPr>
        <w:t>Certain of our facilities are subje</w:t>
      </w:r>
      <w:r>
        <w:rPr>
          <w:i/>
          <w:iCs/>
          <w:sz w:val="20"/>
          <w:szCs w:val="20"/>
        </w:rPr>
        <w:t>ct to options to purchase and reversions</w:t>
      </w:r>
      <w:r>
        <w:rPr>
          <w:i/>
          <w:iCs/>
          <w:sz w:val="20"/>
          <w:szCs w:val="20"/>
        </w:rPr>
        <w:t>.</w:t>
      </w:r>
      <w:r>
        <w:rPr>
          <w:sz w:val="20"/>
          <w:szCs w:val="20"/>
        </w:rPr>
        <w:t xml:space="preserve"> Ten of our facilities are subject to an option to purchase by certain governmental agencies. Such options are exercisable by the corresponding contracting governmental entity generally at any time during the term o</w:t>
      </w:r>
      <w:r>
        <w:rPr>
          <w:sz w:val="20"/>
          <w:szCs w:val="20"/>
        </w:rPr>
        <w:t>f the respective facility contract. Certain of these purchase options are based on the depreciated book value of the facility, which essentially could result in the transfer of ownership of the facility to the governmental agency at the end of the life use</w:t>
      </w:r>
      <w:r>
        <w:rPr>
          <w:sz w:val="20"/>
          <w:szCs w:val="20"/>
        </w:rPr>
        <w:t>d for accounting purposes, while other options to purchase are exercisable at prices below fair market value. See "Business – Facility Portfolio." If any of these options are exercised, there exists the risk that we will be unable to invest the proceeds fr</w:t>
      </w:r>
      <w:r>
        <w:rPr>
          <w:sz w:val="20"/>
          <w:szCs w:val="20"/>
        </w:rPr>
        <w:t>om the sale of the facility in one or more properties that yield as much cash flow as the property acquired by the government entity. In addition, in the event any of these options is exercised, there exists the risk that the contracting governmental agenc</w:t>
      </w:r>
      <w:r>
        <w:rPr>
          <w:sz w:val="20"/>
          <w:szCs w:val="20"/>
        </w:rPr>
        <w:t xml:space="preserve">y will terminate the management contract associated with such facility. For the year ended December 31, 2022, the ten facilities currently subject to these options generated $325.7 million in revenue (17.7% of total revenue) and incurred $274.4 million in </w:t>
      </w:r>
      <w:r>
        <w:rPr>
          <w:sz w:val="20"/>
          <w:szCs w:val="20"/>
        </w:rPr>
        <w:t>operating expenses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i/>
          <w:iCs/>
          <w:sz w:val="20"/>
          <w:szCs w:val="20"/>
        </w:rPr>
        <w:t>Risks related to facility construction and development activities may increase our costs related to such activities</w:t>
      </w:r>
      <w:r>
        <w:rPr>
          <w:i/>
          <w:iCs/>
          <w:sz w:val="20"/>
          <w:szCs w:val="20"/>
        </w:rPr>
        <w:t>.</w:t>
      </w:r>
      <w:r>
        <w:rPr>
          <w:sz w:val="20"/>
          <w:szCs w:val="20"/>
        </w:rPr>
        <w:t xml:space="preserve"> When we are engaged to perform construction and design services for a facility, we typically act as the primary contra</w:t>
      </w:r>
      <w:r>
        <w:rPr>
          <w:sz w:val="20"/>
          <w:szCs w:val="20"/>
        </w:rPr>
        <w:t>ctor and subcontract with other companies that act as the general contractors. As primary contractor, we are subject to the various risks associated with construction (including, without limitation, shortages of labor and materials, work stoppages, labor d</w:t>
      </w:r>
      <w:r>
        <w:rPr>
          <w:sz w:val="20"/>
          <w:szCs w:val="20"/>
        </w:rPr>
        <w:t xml:space="preserve">isputes, and weather interference which could cause construction delays). In addition, we are subject to the risk that the general contractor will be unable to complete construction at the budgeted costs or be unable to fund any excess construction costs, </w:t>
      </w:r>
      <w:r>
        <w:rPr>
          <w:sz w:val="20"/>
          <w:szCs w:val="20"/>
        </w:rPr>
        <w:t>even though we require general contractors to post construction bonds and insurance. Under such contracts, we are ultimately liable for all late delivery penalties and cost overruns</w:t>
      </w:r>
      <w:r>
        <w:rPr>
          <w:sz w:val="20"/>
          <w:szCs w:val="20"/>
        </w:rPr>
        <w:t>.</w:t>
      </w:r>
      <w:r>
        <w:rPr>
          <w:sz w:val="20"/>
          <w:szCs w:val="20"/>
        </w:rPr>
        <w:t xml:space="preserve"> </w:t>
      </w:r>
    </w:p>
    <w:p w:rsidR="00000000" w:rsidRDefault="006D723D">
      <w:pPr>
        <w:pStyle w:val="a3"/>
        <w:spacing w:before="360" w:beforeAutospacing="0" w:after="0" w:afterAutospacing="0"/>
        <w:jc w:val="both"/>
        <w:rPr>
          <w:sz w:val="20"/>
          <w:szCs w:val="20"/>
        </w:rPr>
      </w:pPr>
      <w:r>
        <w:rPr>
          <w:b/>
          <w:bCs/>
          <w:i/>
          <w:iCs/>
          <w:sz w:val="20"/>
          <w:szCs w:val="20"/>
        </w:rPr>
        <w:t>We may be adversely affected by an increase in costs or difficulty of ob</w:t>
      </w:r>
      <w:r>
        <w:rPr>
          <w:b/>
          <w:bCs/>
          <w:i/>
          <w:iCs/>
          <w:sz w:val="20"/>
          <w:szCs w:val="20"/>
        </w:rPr>
        <w:t>taining adequate levels of surety credit on favorable terms</w:t>
      </w:r>
      <w:r>
        <w:rPr>
          <w:b/>
          <w:bCs/>
          <w:i/>
          <w:iCs/>
          <w:sz w:val="20"/>
          <w:szCs w:val="20"/>
        </w:rPr>
        <w:t>.</w:t>
      </w:r>
    </w:p>
    <w:p w:rsidR="00000000" w:rsidRDefault="006D723D">
      <w:pPr>
        <w:pStyle w:val="a3"/>
        <w:spacing w:before="120" w:beforeAutospacing="0" w:after="0" w:afterAutospacing="0"/>
        <w:jc w:val="both"/>
        <w:rPr>
          <w:sz w:val="20"/>
          <w:szCs w:val="20"/>
        </w:rPr>
      </w:pPr>
      <w:r>
        <w:rPr>
          <w:sz w:val="20"/>
          <w:szCs w:val="20"/>
        </w:rPr>
        <w:t>We are often required to post bid or performance bonds issued by a surety company as a condition to bidding on or being awarded a contract. Availability and pricing of these surety commitments ar</w:t>
      </w:r>
      <w:r>
        <w:rPr>
          <w:sz w:val="20"/>
          <w:szCs w:val="20"/>
        </w:rPr>
        <w:t>e subject to general market and industry conditions, among other factors. Increases in surety costs could adversely affect our operating results if we are unable to effectively pass along such increases to our customers. We cannot assure you that we will h</w:t>
      </w:r>
      <w:r>
        <w:rPr>
          <w:sz w:val="20"/>
          <w:szCs w:val="20"/>
        </w:rPr>
        <w:t>ave continued access to surety credit or that we will be able to secure bonds economically, without additional collateral, or at the levels required for any potential facility development or contract bids. If we are unable to obtain adequate levels of sure</w:t>
      </w:r>
      <w:r>
        <w:rPr>
          <w:sz w:val="20"/>
          <w:szCs w:val="20"/>
        </w:rPr>
        <w:t>ty credit on favorable terms, we would have to rely upon letters of credit under our Revolving Credit Facility, which could entail higher costs if such borrowing capacity was even available when desired, and our ability to bid for or obtain new contracts c</w:t>
      </w:r>
      <w:r>
        <w:rPr>
          <w:sz w:val="20"/>
          <w:szCs w:val="20"/>
        </w:rPr>
        <w:t>ould be impaired</w:t>
      </w:r>
      <w:r>
        <w:rPr>
          <w:sz w:val="20"/>
          <w:szCs w:val="20"/>
        </w:rPr>
        <w:t>.</w:t>
      </w:r>
    </w:p>
    <w:p w:rsidR="00000000" w:rsidRDefault="006D723D">
      <w:pPr>
        <w:pStyle w:val="a3"/>
        <w:spacing w:before="240" w:beforeAutospacing="0" w:after="0" w:afterAutospacing="0"/>
        <w:jc w:val="center"/>
        <w:rPr>
          <w:sz w:val="20"/>
          <w:szCs w:val="20"/>
        </w:rPr>
      </w:pPr>
      <w:r>
        <w:rPr>
          <w:sz w:val="20"/>
          <w:szCs w:val="20"/>
        </w:rPr>
        <w:t>5</w:t>
      </w:r>
      <w:r>
        <w:rPr>
          <w:sz w:val="20"/>
          <w:szCs w:val="20"/>
        </w:rPr>
        <w:t>3</w:t>
      </w:r>
    </w:p>
    <w:p w:rsidR="00000000" w:rsidRDefault="006D723D">
      <w:pPr>
        <w:rPr>
          <w:rFonts w:eastAsia="Times New Roman"/>
        </w:rPr>
      </w:pPr>
      <w:r>
        <w:rPr>
          <w:rFonts w:eastAsia="Times New Roman"/>
        </w:rPr>
        <w:pict>
          <v:rect id="_x0000_i1077"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360" w:beforeAutospacing="0" w:after="0" w:afterAutospacing="0"/>
        <w:jc w:val="both"/>
        <w:rPr>
          <w:sz w:val="20"/>
          <w:szCs w:val="20"/>
        </w:rPr>
      </w:pPr>
      <w:r>
        <w:rPr>
          <w:b/>
          <w:bCs/>
          <w:i/>
          <w:iCs/>
          <w:sz w:val="20"/>
          <w:szCs w:val="20"/>
        </w:rPr>
        <w:t>Interruption, delay or failure of the provision of our technology services or information systems, or the compromise of the security thereof, could adversely affect our business, financial condition or results of operations</w:t>
      </w:r>
      <w:r>
        <w:rPr>
          <w:b/>
          <w:bCs/>
          <w:i/>
          <w:iCs/>
          <w:sz w:val="20"/>
          <w:szCs w:val="20"/>
        </w:rPr>
        <w:t>.</w:t>
      </w:r>
    </w:p>
    <w:p w:rsidR="00000000" w:rsidRDefault="006D723D">
      <w:pPr>
        <w:pStyle w:val="a3"/>
        <w:spacing w:before="120" w:beforeAutospacing="0" w:after="0" w:afterAutospacing="0"/>
        <w:jc w:val="both"/>
        <w:rPr>
          <w:sz w:val="20"/>
          <w:szCs w:val="20"/>
        </w:rPr>
      </w:pPr>
      <w:r>
        <w:rPr>
          <w:sz w:val="20"/>
          <w:szCs w:val="20"/>
        </w:rPr>
        <w:t>Components of our business depe</w:t>
      </w:r>
      <w:r>
        <w:rPr>
          <w:sz w:val="20"/>
          <w:szCs w:val="20"/>
        </w:rPr>
        <w:t>nd significantly on effective information systems and technologies, some of which are provided and/or maintained by third parties. As with all companies that utilize information systems, we are vulnerable to negative impacts to our business if the operatio</w:t>
      </w:r>
      <w:r>
        <w:rPr>
          <w:sz w:val="20"/>
          <w:szCs w:val="20"/>
        </w:rPr>
        <w:t>n of those systems malfunctions or experiences errors, interruptions or delays, or certain information contained therein is compromised. As a matter of course, we may store or process the personal information of offenders, employees and other persons as re</w:t>
      </w:r>
      <w:r>
        <w:rPr>
          <w:sz w:val="20"/>
          <w:szCs w:val="20"/>
        </w:rPr>
        <w:t>quired to provide our services and such personal information or other data may be hosted or exchanged with our government partners and other third-party providers. While we employ industry standard administrative, technical and physical safeguards designed</w:t>
      </w:r>
      <w:r>
        <w:rPr>
          <w:sz w:val="20"/>
          <w:szCs w:val="20"/>
        </w:rPr>
        <w:t xml:space="preserve"> to protect the integrity and security of personal data we collect or process, despite the security measures we have in place, and any additional measures we may implement in the future, our facilities and systems, and those of our third-party service prov</w:t>
      </w:r>
      <w:r>
        <w:rPr>
          <w:sz w:val="20"/>
          <w:szCs w:val="20"/>
        </w:rPr>
        <w:t>iders, could be vulnerable to service interruptions, outages, cyber-attacks and security breaches and incidents, human error, earthquakes, hurricanes, floods, pandemics, fires, other natural disasters, power losses, disruptions in telecommunications servic</w:t>
      </w:r>
      <w:r>
        <w:rPr>
          <w:sz w:val="20"/>
          <w:szCs w:val="20"/>
        </w:rPr>
        <w:t>es, fraud, military or political conflicts (including the war between Ukraine and Russia), terrorist attacks and other geopolitical unrest, computer viruses, ransomware, and other malicious software, changes in social, political, or regulatory conditions o</w:t>
      </w:r>
      <w:r>
        <w:rPr>
          <w:sz w:val="20"/>
          <w:szCs w:val="20"/>
        </w:rPr>
        <w:t>r in laws and policies, or other changes or events. For example, several well-known companies have recently disclosed high-profile security breaches involving sophisticated and highly targeted attacks on their company's infrastructure or their customers' d</w:t>
      </w:r>
      <w:r>
        <w:rPr>
          <w:sz w:val="20"/>
          <w:szCs w:val="20"/>
        </w:rPr>
        <w:t>ata, which were not recognized or detected until after such companies had been affected notwithstanding the preventive measures they had in place. In addition, since Russia's invasion of Ukraine, many companies have experienced heightened cybersecurity ris</w:t>
      </w:r>
      <w:r>
        <w:rPr>
          <w:sz w:val="20"/>
          <w:szCs w:val="20"/>
        </w:rPr>
        <w:t>ks. Any security breach or event resulting in the interruption, delay or failure of our services or information systems, or the misappropriation, loss, or other unauthorized disclosure of personal data or confidential information, including confidential in</w:t>
      </w:r>
      <w:r>
        <w:rPr>
          <w:sz w:val="20"/>
          <w:szCs w:val="20"/>
        </w:rPr>
        <w:t>formation about our employees, whether by us directly or our third-party service providers, could damage our reputation, expose us to the risks of litigation and liability, result in significant monetary penalties and/or regulatory actions for violation of</w:t>
      </w:r>
      <w:r>
        <w:rPr>
          <w:sz w:val="20"/>
          <w:szCs w:val="20"/>
        </w:rPr>
        <w:t xml:space="preserve"> applicable laws or regulations, disrupt our business and result in significant costs for investigation and notification regarding the event and remedial measures to prevent future occurrences and mitigate past violations, result in lost business, or other</w:t>
      </w:r>
      <w:r>
        <w:rPr>
          <w:sz w:val="20"/>
          <w:szCs w:val="20"/>
        </w:rPr>
        <w:t xml:space="preserve">wise adversely affect our results of operations. Although we maintain cyber-security insurance covering certain security and privacy damages and claim expenses, we may not carry insurance or maintain coverage sufficient to compensate for all liability and </w:t>
      </w:r>
      <w:r>
        <w:rPr>
          <w:sz w:val="20"/>
          <w:szCs w:val="20"/>
        </w:rPr>
        <w:t>in any event, insurance coverage would not address the reputational damage that could result from a security incident</w:t>
      </w:r>
      <w:r>
        <w:rPr>
          <w:sz w:val="20"/>
          <w:szCs w:val="20"/>
        </w:rPr>
        <w:t>.</w:t>
      </w:r>
    </w:p>
    <w:p w:rsidR="00000000" w:rsidRDefault="006D723D">
      <w:pPr>
        <w:pStyle w:val="a3"/>
        <w:spacing w:before="360" w:beforeAutospacing="0" w:after="0" w:afterAutospacing="0"/>
        <w:jc w:val="both"/>
        <w:rPr>
          <w:sz w:val="20"/>
          <w:szCs w:val="20"/>
        </w:rPr>
      </w:pPr>
      <w:r>
        <w:rPr>
          <w:b/>
          <w:bCs/>
          <w:i/>
          <w:iCs/>
          <w:sz w:val="20"/>
          <w:szCs w:val="20"/>
        </w:rPr>
        <w:t>We are subject to risks related to corporate social responsibility</w:t>
      </w:r>
      <w:r>
        <w:rPr>
          <w:b/>
          <w:bCs/>
          <w:i/>
          <w:iCs/>
          <w:sz w:val="20"/>
          <w:szCs w:val="20"/>
        </w:rPr>
        <w:t>.</w:t>
      </w:r>
    </w:p>
    <w:p w:rsidR="00000000" w:rsidRDefault="006D723D">
      <w:pPr>
        <w:pStyle w:val="a3"/>
        <w:spacing w:before="120" w:beforeAutospacing="0" w:after="0" w:afterAutospacing="0"/>
        <w:jc w:val="both"/>
        <w:rPr>
          <w:sz w:val="20"/>
          <w:szCs w:val="20"/>
        </w:rPr>
      </w:pPr>
      <w:r>
        <w:rPr>
          <w:sz w:val="20"/>
          <w:szCs w:val="20"/>
        </w:rPr>
        <w:t>The growing integration of ESG factors in making investment decisions</w:t>
      </w:r>
      <w:r>
        <w:rPr>
          <w:sz w:val="20"/>
          <w:szCs w:val="20"/>
        </w:rPr>
        <w:t xml:space="preserve"> is relatively new, and frameworks and methods used by investors for assessing ESG policies are not fully developed and vary considerably among the investment community. Further, pending rules proposed by the SEC and the Federal Acquisition Regulatory Coun</w:t>
      </w:r>
      <w:r>
        <w:rPr>
          <w:sz w:val="20"/>
          <w:szCs w:val="20"/>
        </w:rPr>
        <w:t>cil may require new environmental and climate risk disclosures which may introduce legal and reputational risk. During 2022, we issued our fourth ESG report to detail how we attempt to deliver on our service commitment to our government partners and manage</w:t>
      </w:r>
      <w:r>
        <w:rPr>
          <w:sz w:val="20"/>
          <w:szCs w:val="20"/>
        </w:rPr>
        <w:t xml:space="preserve"> our operations responsibly and ethically. These policies and practices, whether it be the standards we set for ourselves or ESG criteria established by third parties, and whether or not we meet such standards, may influence our reputation. For example, th</w:t>
      </w:r>
      <w:r>
        <w:rPr>
          <w:sz w:val="20"/>
          <w:szCs w:val="20"/>
        </w:rPr>
        <w:t>e perception held by the general public, our governmental partners, vendors, suppliers, other stakeholders, or the communities in which we do business may depend, in part, on the standards we have chosen to aspire to meet, whether or not we meet these stan</w:t>
      </w:r>
      <w:r>
        <w:rPr>
          <w:sz w:val="20"/>
          <w:szCs w:val="20"/>
        </w:rPr>
        <w:t xml:space="preserve">dards on a timely basis or at all, and whether or not we meet external ESG factors they deem relevant. Nonetheless, the subjective nature and wide variety of methods and processes used by various stakeholders, including investors, to assess a company with </w:t>
      </w:r>
      <w:r>
        <w:rPr>
          <w:sz w:val="20"/>
          <w:szCs w:val="20"/>
        </w:rPr>
        <w:t>respect to ESG criteria can result in the perception of negative ESG factors or a misrepresentation of our ESG policies and practices. Our failure to achieve progress on our ESG policies and practices on a timely basis, or at all, or to meet ESG criteria s</w:t>
      </w:r>
      <w:r>
        <w:rPr>
          <w:sz w:val="20"/>
          <w:szCs w:val="20"/>
        </w:rPr>
        <w:t>et by third parties, could adversely affect our business, financial performance, or growth</w:t>
      </w:r>
      <w:r>
        <w:rPr>
          <w:sz w:val="20"/>
          <w:szCs w:val="20"/>
        </w:rPr>
        <w:t>.</w:t>
      </w:r>
    </w:p>
    <w:p w:rsidR="00000000" w:rsidRDefault="006D723D">
      <w:pPr>
        <w:pStyle w:val="a3"/>
        <w:spacing w:before="240" w:beforeAutospacing="0" w:after="0" w:afterAutospacing="0"/>
        <w:jc w:val="center"/>
        <w:rPr>
          <w:sz w:val="20"/>
          <w:szCs w:val="20"/>
        </w:rPr>
      </w:pPr>
      <w:r>
        <w:rPr>
          <w:sz w:val="20"/>
          <w:szCs w:val="20"/>
        </w:rPr>
        <w:t>5</w:t>
      </w:r>
      <w:r>
        <w:rPr>
          <w:sz w:val="20"/>
          <w:szCs w:val="20"/>
        </w:rPr>
        <w:t>4</w:t>
      </w:r>
    </w:p>
    <w:p w:rsidR="00000000" w:rsidRDefault="006D723D">
      <w:pPr>
        <w:rPr>
          <w:rFonts w:eastAsia="Times New Roman"/>
        </w:rPr>
      </w:pPr>
      <w:r>
        <w:rPr>
          <w:rFonts w:eastAsia="Times New Roman"/>
        </w:rPr>
        <w:pict>
          <v:rect id="_x0000_i1078"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By electing to set and publicly share these ESG standards, our business may also face increased scrutiny related to ESG ac</w:t>
      </w:r>
      <w:r>
        <w:rPr>
          <w:sz w:val="20"/>
          <w:szCs w:val="20"/>
        </w:rPr>
        <w:t>tivities. As a result, our reputation could be harmed if we fail to act responsibly in the areas in which we report, such as safety and security, human rights, diversity, quality assurance and facility oversight, community development, and environmental su</w:t>
      </w:r>
      <w:r>
        <w:rPr>
          <w:sz w:val="20"/>
          <w:szCs w:val="20"/>
        </w:rPr>
        <w:t xml:space="preserve">stainability. Any harm to our reputation resulting from setting these standards or our failure or perceived failure to meet such standards could impact: employee retention; the willingness of our governmental partners, vendors and suppliers to do business </w:t>
      </w:r>
      <w:r>
        <w:rPr>
          <w:sz w:val="20"/>
          <w:szCs w:val="20"/>
        </w:rPr>
        <w:t>with us; investors willingness or ability to purchase or hold our securities; or our ability to access capital, any of which could adversely affect our business, financial performance, and growth. Our ESG report is not a part of this Annual Report</w:t>
      </w:r>
      <w:r>
        <w:rPr>
          <w:sz w:val="20"/>
          <w:szCs w:val="20"/>
        </w:rPr>
        <w:t>.</w:t>
      </w:r>
    </w:p>
    <w:p w:rsidR="00000000" w:rsidRDefault="006D723D">
      <w:pPr>
        <w:pStyle w:val="a3"/>
        <w:spacing w:before="360" w:beforeAutospacing="0" w:after="0" w:afterAutospacing="0"/>
        <w:jc w:val="both"/>
        <w:rPr>
          <w:sz w:val="20"/>
          <w:szCs w:val="20"/>
        </w:rPr>
      </w:pPr>
      <w:r>
        <w:rPr>
          <w:b/>
          <w:bCs/>
          <w:i/>
          <w:iCs/>
          <w:sz w:val="20"/>
          <w:szCs w:val="20"/>
        </w:rPr>
        <w:t>As a</w:t>
      </w:r>
      <w:r>
        <w:rPr>
          <w:b/>
          <w:bCs/>
          <w:i/>
          <w:iCs/>
          <w:sz w:val="20"/>
          <w:szCs w:val="20"/>
        </w:rPr>
        <w:t>n</w:t>
      </w:r>
      <w:r>
        <w:rPr>
          <w:sz w:val="20"/>
          <w:szCs w:val="20"/>
        </w:rPr>
        <w:t xml:space="preserve"> </w:t>
      </w:r>
      <w:r>
        <w:rPr>
          <w:b/>
          <w:bCs/>
          <w:i/>
          <w:iCs/>
          <w:sz w:val="20"/>
          <w:szCs w:val="20"/>
        </w:rPr>
        <w:t>o</w:t>
      </w:r>
      <w:r>
        <w:rPr>
          <w:b/>
          <w:bCs/>
          <w:i/>
          <w:iCs/>
          <w:sz w:val="20"/>
          <w:szCs w:val="20"/>
        </w:rPr>
        <w:t>wner and operator of correctional, detention, and residential reentry facilities, we are subject to risks relating to acts of God, outbreaks of epidemic or pandemic disease, global climate change, terrorist activity and war</w:t>
      </w:r>
      <w:r>
        <w:rPr>
          <w:b/>
          <w:bCs/>
          <w:i/>
          <w:iCs/>
          <w:sz w:val="20"/>
          <w:szCs w:val="20"/>
        </w:rPr>
        <w:t>.</w:t>
      </w:r>
    </w:p>
    <w:p w:rsidR="00000000" w:rsidRDefault="006D723D">
      <w:pPr>
        <w:pStyle w:val="a3"/>
        <w:spacing w:before="120" w:beforeAutospacing="0" w:after="0" w:afterAutospacing="0"/>
        <w:jc w:val="both"/>
        <w:rPr>
          <w:sz w:val="20"/>
          <w:szCs w:val="20"/>
        </w:rPr>
      </w:pPr>
      <w:r>
        <w:rPr>
          <w:sz w:val="20"/>
          <w:szCs w:val="20"/>
        </w:rPr>
        <w:t>We may encounter staffing const</w:t>
      </w:r>
      <w:r>
        <w:rPr>
          <w:sz w:val="20"/>
          <w:szCs w:val="20"/>
        </w:rPr>
        <w:t>raints as well as costs and expenses associated with owning and/or operating our correctional, detention, and residential reentry facilities as a result of acts of God, outbreaks of epidemic or pandemic disease (such as the COVID-19 pandemic), global clima</w:t>
      </w:r>
      <w:r>
        <w:rPr>
          <w:sz w:val="20"/>
          <w:szCs w:val="20"/>
        </w:rPr>
        <w:t>te change (including the potential for increased inclement weather and natural disasters), war (including the war between Ukraine and Russia and the potential for war), terrorist activity (including threats of terrorist activity), political unrest, geopoli</w:t>
      </w:r>
      <w:r>
        <w:rPr>
          <w:sz w:val="20"/>
          <w:szCs w:val="20"/>
        </w:rPr>
        <w:t>tical uncertainty and other forms of civil strife, in or around locations where we own and/or operate significant properties. These events could have an adverse impact on our business, financial condition, results of operations or the market price of our c</w:t>
      </w:r>
      <w:r>
        <w:rPr>
          <w:sz w:val="20"/>
          <w:szCs w:val="20"/>
        </w:rPr>
        <w:t>ommon stock</w:t>
      </w:r>
      <w:r>
        <w:rPr>
          <w:sz w:val="20"/>
          <w:szCs w:val="20"/>
        </w:rPr>
        <w:t>.</w:t>
      </w:r>
    </w:p>
    <w:p w:rsidR="00000000" w:rsidRDefault="006D723D">
      <w:pPr>
        <w:pStyle w:val="a3"/>
        <w:spacing w:before="360" w:beforeAutospacing="0" w:after="0" w:afterAutospacing="0"/>
        <w:jc w:val="both"/>
        <w:rPr>
          <w:sz w:val="20"/>
          <w:szCs w:val="20"/>
        </w:rPr>
      </w:pPr>
      <w:r>
        <w:rPr>
          <w:b/>
          <w:bCs/>
          <w:sz w:val="20"/>
          <w:szCs w:val="20"/>
        </w:rPr>
        <w:t>Risks Related to Our Indebtednes</w:t>
      </w:r>
      <w:r>
        <w:rPr>
          <w:b/>
          <w:bCs/>
          <w:sz w:val="20"/>
          <w:szCs w:val="20"/>
        </w:rPr>
        <w:t>s</w:t>
      </w:r>
    </w:p>
    <w:p w:rsidR="00000000" w:rsidRDefault="006D723D">
      <w:pPr>
        <w:pStyle w:val="a3"/>
        <w:spacing w:before="120" w:beforeAutospacing="0" w:after="0" w:afterAutospacing="0"/>
        <w:jc w:val="both"/>
        <w:rPr>
          <w:sz w:val="20"/>
          <w:szCs w:val="20"/>
        </w:rPr>
      </w:pPr>
      <w:r>
        <w:rPr>
          <w:b/>
          <w:bCs/>
          <w:i/>
          <w:iCs/>
          <w:sz w:val="20"/>
          <w:szCs w:val="20"/>
        </w:rPr>
        <w:t>Our indebtedness could adversely affect our financial health and prevent us from fulfilling our obligations under our debt securities</w:t>
      </w:r>
      <w:r>
        <w:rPr>
          <w:b/>
          <w:bCs/>
          <w:i/>
          <w:iCs/>
          <w:sz w:val="20"/>
          <w:szCs w:val="20"/>
        </w:rPr>
        <w:t>.</w:t>
      </w:r>
    </w:p>
    <w:p w:rsidR="00000000" w:rsidRDefault="006D723D">
      <w:pPr>
        <w:pStyle w:val="a3"/>
        <w:spacing w:before="120" w:beforeAutospacing="0" w:after="0" w:afterAutospacing="0"/>
        <w:jc w:val="both"/>
        <w:rPr>
          <w:sz w:val="20"/>
          <w:szCs w:val="20"/>
        </w:rPr>
      </w:pPr>
      <w:r>
        <w:rPr>
          <w:sz w:val="20"/>
          <w:szCs w:val="20"/>
        </w:rPr>
        <w:t xml:space="preserve">We have a significant amount of indebtedness. As of December 31, 2022, we </w:t>
      </w:r>
      <w:r>
        <w:rPr>
          <w:sz w:val="20"/>
          <w:szCs w:val="20"/>
        </w:rPr>
        <w:t>had total indebtedness of $1,264.5 million. Our indebtedness could have important consequences. For example, it could</w:t>
      </w:r>
      <w:r>
        <w:rPr>
          <w:sz w:val="20"/>
          <w:szCs w:val="20"/>
        </w:rPr>
        <w:t>:</w:t>
      </w:r>
    </w:p>
    <w:p w:rsidR="00000000" w:rsidRDefault="006D723D">
      <w:pPr>
        <w:jc w:val="both"/>
        <w:divId w:val="1410273229"/>
        <w:rPr>
          <w:rFonts w:eastAsia="Times New Roman"/>
        </w:rPr>
      </w:pPr>
      <w:r>
        <w:rPr>
          <w:rFonts w:eastAsia="Times New Roman"/>
          <w:sz w:val="20"/>
          <w:szCs w:val="20"/>
        </w:rPr>
        <w:t>•</w:t>
      </w:r>
    </w:p>
    <w:p w:rsidR="00000000" w:rsidRDefault="006D723D">
      <w:pPr>
        <w:jc w:val="both"/>
        <w:divId w:val="184754497"/>
        <w:rPr>
          <w:rFonts w:eastAsia="Times New Roman"/>
        </w:rPr>
      </w:pPr>
      <w:r>
        <w:rPr>
          <w:rFonts w:eastAsia="Times New Roman"/>
          <w:sz w:val="20"/>
          <w:szCs w:val="20"/>
        </w:rPr>
        <w:t>make it more difficult for us to satisfy our obligations with respect to our indebtedness</w:t>
      </w:r>
      <w:r>
        <w:rPr>
          <w:rFonts w:eastAsia="Times New Roman"/>
          <w:sz w:val="20"/>
          <w:szCs w:val="20"/>
        </w:rPr>
        <w:t>;</w:t>
      </w:r>
    </w:p>
    <w:p w:rsidR="00000000" w:rsidRDefault="006D723D">
      <w:pPr>
        <w:jc w:val="both"/>
        <w:divId w:val="1268153182"/>
        <w:rPr>
          <w:rFonts w:eastAsia="Times New Roman"/>
        </w:rPr>
      </w:pPr>
      <w:r>
        <w:rPr>
          <w:rFonts w:eastAsia="Times New Roman"/>
          <w:sz w:val="20"/>
          <w:szCs w:val="20"/>
        </w:rPr>
        <w:t>•</w:t>
      </w:r>
    </w:p>
    <w:p w:rsidR="00000000" w:rsidRDefault="006D723D">
      <w:pPr>
        <w:jc w:val="both"/>
        <w:divId w:val="638653283"/>
        <w:rPr>
          <w:rFonts w:eastAsia="Times New Roman"/>
        </w:rPr>
      </w:pPr>
      <w:r>
        <w:rPr>
          <w:rFonts w:eastAsia="Times New Roman"/>
          <w:sz w:val="20"/>
          <w:szCs w:val="20"/>
        </w:rPr>
        <w:t>increase our vulnerability to general adverse economic and industry conditions</w:t>
      </w:r>
      <w:r>
        <w:rPr>
          <w:rFonts w:eastAsia="Times New Roman"/>
          <w:sz w:val="20"/>
          <w:szCs w:val="20"/>
        </w:rPr>
        <w:t>;</w:t>
      </w:r>
    </w:p>
    <w:p w:rsidR="00000000" w:rsidRDefault="006D723D">
      <w:pPr>
        <w:jc w:val="both"/>
        <w:divId w:val="1310130275"/>
        <w:rPr>
          <w:rFonts w:eastAsia="Times New Roman"/>
        </w:rPr>
      </w:pPr>
      <w:r>
        <w:rPr>
          <w:rFonts w:eastAsia="Times New Roman"/>
          <w:sz w:val="20"/>
          <w:szCs w:val="20"/>
        </w:rPr>
        <w:t>•</w:t>
      </w:r>
    </w:p>
    <w:p w:rsidR="00000000" w:rsidRDefault="006D723D">
      <w:pPr>
        <w:jc w:val="both"/>
        <w:divId w:val="18745540"/>
        <w:rPr>
          <w:rFonts w:eastAsia="Times New Roman"/>
        </w:rPr>
      </w:pPr>
      <w:r>
        <w:rPr>
          <w:rFonts w:eastAsia="Times New Roman"/>
          <w:sz w:val="20"/>
          <w:szCs w:val="20"/>
        </w:rPr>
        <w:t xml:space="preserve">require us to dedicate a substantial portion of our cash flow from operations to </w:t>
      </w:r>
      <w:r>
        <w:rPr>
          <w:rFonts w:eastAsia="Times New Roman"/>
          <w:sz w:val="20"/>
          <w:szCs w:val="20"/>
        </w:rPr>
        <w:t>payments on our indebtedness, thereby reducing the availability of our cash flow to fund working capital, capital expenditures, dividends, stock repurchases and other general corporate purposes</w:t>
      </w:r>
      <w:r>
        <w:rPr>
          <w:rFonts w:eastAsia="Times New Roman"/>
          <w:sz w:val="20"/>
          <w:szCs w:val="20"/>
        </w:rPr>
        <w:t>;</w:t>
      </w:r>
    </w:p>
    <w:p w:rsidR="00000000" w:rsidRDefault="006D723D">
      <w:pPr>
        <w:jc w:val="both"/>
        <w:divId w:val="821194087"/>
        <w:rPr>
          <w:rFonts w:eastAsia="Times New Roman"/>
        </w:rPr>
      </w:pPr>
      <w:r>
        <w:rPr>
          <w:rFonts w:eastAsia="Times New Roman"/>
          <w:sz w:val="20"/>
          <w:szCs w:val="20"/>
        </w:rPr>
        <w:t>•</w:t>
      </w:r>
    </w:p>
    <w:p w:rsidR="00000000" w:rsidRDefault="006D723D">
      <w:pPr>
        <w:jc w:val="both"/>
        <w:divId w:val="1295519856"/>
        <w:rPr>
          <w:rFonts w:eastAsia="Times New Roman"/>
        </w:rPr>
      </w:pPr>
      <w:r>
        <w:rPr>
          <w:rFonts w:eastAsia="Times New Roman"/>
          <w:sz w:val="20"/>
          <w:szCs w:val="20"/>
        </w:rPr>
        <w:t>limit our flexibility in planning for, or reacting to, chan</w:t>
      </w:r>
      <w:r>
        <w:rPr>
          <w:rFonts w:eastAsia="Times New Roman"/>
          <w:sz w:val="20"/>
          <w:szCs w:val="20"/>
        </w:rPr>
        <w:t>ges in our business and the industry in which we operate</w:t>
      </w:r>
      <w:r>
        <w:rPr>
          <w:rFonts w:eastAsia="Times New Roman"/>
          <w:sz w:val="20"/>
          <w:szCs w:val="20"/>
        </w:rPr>
        <w:t>;</w:t>
      </w:r>
    </w:p>
    <w:p w:rsidR="00000000" w:rsidRDefault="006D723D">
      <w:pPr>
        <w:jc w:val="both"/>
        <w:divId w:val="1670252542"/>
        <w:rPr>
          <w:rFonts w:eastAsia="Times New Roman"/>
        </w:rPr>
      </w:pPr>
      <w:r>
        <w:rPr>
          <w:rFonts w:eastAsia="Times New Roman"/>
          <w:sz w:val="20"/>
          <w:szCs w:val="20"/>
        </w:rPr>
        <w:t>•</w:t>
      </w:r>
    </w:p>
    <w:p w:rsidR="00000000" w:rsidRDefault="006D723D">
      <w:pPr>
        <w:jc w:val="both"/>
        <w:divId w:val="887883732"/>
        <w:rPr>
          <w:rFonts w:eastAsia="Times New Roman"/>
        </w:rPr>
      </w:pPr>
      <w:r>
        <w:rPr>
          <w:rFonts w:eastAsia="Times New Roman"/>
          <w:sz w:val="20"/>
          <w:szCs w:val="20"/>
        </w:rPr>
        <w:t>restrict us from pursuing strategic acquisitions or certain other business opportunities</w:t>
      </w:r>
      <w:r>
        <w:rPr>
          <w:rFonts w:eastAsia="Times New Roman"/>
          <w:sz w:val="20"/>
          <w:szCs w:val="20"/>
        </w:rPr>
        <w:t>;</w:t>
      </w:r>
    </w:p>
    <w:p w:rsidR="00000000" w:rsidRDefault="006D723D">
      <w:pPr>
        <w:jc w:val="both"/>
        <w:divId w:val="1158032605"/>
        <w:rPr>
          <w:rFonts w:eastAsia="Times New Roman"/>
        </w:rPr>
      </w:pPr>
      <w:r>
        <w:rPr>
          <w:rFonts w:eastAsia="Times New Roman"/>
          <w:sz w:val="20"/>
          <w:szCs w:val="20"/>
        </w:rPr>
        <w:t>•</w:t>
      </w:r>
    </w:p>
    <w:p w:rsidR="00000000" w:rsidRDefault="006D723D">
      <w:pPr>
        <w:jc w:val="both"/>
        <w:divId w:val="423183800"/>
        <w:rPr>
          <w:rFonts w:eastAsia="Times New Roman"/>
        </w:rPr>
      </w:pPr>
      <w:r>
        <w:rPr>
          <w:rFonts w:eastAsia="Times New Roman"/>
          <w:sz w:val="20"/>
          <w:szCs w:val="20"/>
        </w:rPr>
        <w:t>place us at a competitive disadvantage compared to our competitors that have less debt; an</w:t>
      </w:r>
      <w:r>
        <w:rPr>
          <w:rFonts w:eastAsia="Times New Roman"/>
          <w:sz w:val="20"/>
          <w:szCs w:val="20"/>
        </w:rPr>
        <w:t>d</w:t>
      </w:r>
    </w:p>
    <w:p w:rsidR="00000000" w:rsidRDefault="006D723D">
      <w:pPr>
        <w:jc w:val="both"/>
        <w:divId w:val="1804496975"/>
        <w:rPr>
          <w:rFonts w:eastAsia="Times New Roman"/>
        </w:rPr>
      </w:pPr>
      <w:r>
        <w:rPr>
          <w:rFonts w:eastAsia="Times New Roman"/>
          <w:sz w:val="20"/>
          <w:szCs w:val="20"/>
        </w:rPr>
        <w:t>•</w:t>
      </w:r>
    </w:p>
    <w:p w:rsidR="00000000" w:rsidRDefault="006D723D">
      <w:pPr>
        <w:jc w:val="both"/>
        <w:divId w:val="542792957"/>
        <w:rPr>
          <w:rFonts w:eastAsia="Times New Roman"/>
        </w:rPr>
      </w:pPr>
      <w:r>
        <w:rPr>
          <w:rFonts w:eastAsia="Times New Roman"/>
          <w:sz w:val="20"/>
          <w:szCs w:val="20"/>
        </w:rPr>
        <w:t xml:space="preserve">limit our </w:t>
      </w:r>
      <w:r>
        <w:rPr>
          <w:rFonts w:eastAsia="Times New Roman"/>
          <w:sz w:val="20"/>
          <w:szCs w:val="20"/>
        </w:rPr>
        <w:t>ability to borrow additional funds or refinance existing indebtedness on favorable terms, or at all</w:t>
      </w:r>
      <w:r>
        <w:rPr>
          <w:rFonts w:eastAsia="Times New Roman"/>
          <w:sz w:val="20"/>
          <w:szCs w:val="20"/>
        </w:rPr>
        <w:t>.</w:t>
      </w:r>
    </w:p>
    <w:p w:rsidR="00000000" w:rsidRDefault="006D723D">
      <w:pPr>
        <w:pStyle w:val="a3"/>
        <w:spacing w:before="240" w:beforeAutospacing="0" w:after="0" w:afterAutospacing="0"/>
        <w:jc w:val="both"/>
        <w:rPr>
          <w:sz w:val="20"/>
          <w:szCs w:val="20"/>
        </w:rPr>
      </w:pPr>
      <w:r>
        <w:rPr>
          <w:sz w:val="20"/>
          <w:szCs w:val="20"/>
        </w:rPr>
        <w:t>If we are unable to meet our debt service obligations, we may need to reduce capital expenditures, restructure or refinance our indebtedness, obtain additi</w:t>
      </w:r>
      <w:r>
        <w:rPr>
          <w:sz w:val="20"/>
          <w:szCs w:val="20"/>
        </w:rPr>
        <w:t>onal equity financing or sell assets. We may be unable to restructure or refinance our indebtedness, obtain additional equity financing or sell assets on satisfactory terms or at all</w:t>
      </w:r>
      <w:r>
        <w:rPr>
          <w:sz w:val="20"/>
          <w:szCs w:val="20"/>
        </w:rPr>
        <w:t>.</w:t>
      </w:r>
    </w:p>
    <w:p w:rsidR="00000000" w:rsidRDefault="006D723D">
      <w:pPr>
        <w:pStyle w:val="a3"/>
        <w:spacing w:before="240" w:beforeAutospacing="0" w:after="0" w:afterAutospacing="0"/>
        <w:jc w:val="center"/>
        <w:rPr>
          <w:sz w:val="20"/>
          <w:szCs w:val="20"/>
        </w:rPr>
      </w:pPr>
      <w:r>
        <w:rPr>
          <w:sz w:val="20"/>
          <w:szCs w:val="20"/>
        </w:rPr>
        <w:t>5</w:t>
      </w:r>
      <w:r>
        <w:rPr>
          <w:sz w:val="20"/>
          <w:szCs w:val="20"/>
        </w:rPr>
        <w:t>5</w:t>
      </w:r>
    </w:p>
    <w:p w:rsidR="00000000" w:rsidRDefault="006D723D">
      <w:pPr>
        <w:rPr>
          <w:rFonts w:eastAsia="Times New Roman"/>
        </w:rPr>
      </w:pPr>
      <w:r>
        <w:rPr>
          <w:rFonts w:eastAsia="Times New Roman"/>
        </w:rPr>
        <w:pict>
          <v:rect id="_x0000_i1079"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360" w:beforeAutospacing="0" w:after="0" w:afterAutospacing="0"/>
        <w:jc w:val="both"/>
        <w:rPr>
          <w:sz w:val="20"/>
          <w:szCs w:val="20"/>
        </w:rPr>
      </w:pPr>
      <w:r>
        <w:rPr>
          <w:b/>
          <w:bCs/>
          <w:i/>
          <w:iCs/>
          <w:sz w:val="20"/>
          <w:szCs w:val="20"/>
        </w:rPr>
        <w:t>Our Credit Agreements, indentu</w:t>
      </w:r>
      <w:r>
        <w:rPr>
          <w:b/>
          <w:bCs/>
          <w:i/>
          <w:iCs/>
          <w:sz w:val="20"/>
          <w:szCs w:val="20"/>
        </w:rPr>
        <w:t>res related to our senior notes, and other debt instruments have restrictive covenants that could limit our financial flexibility</w:t>
      </w:r>
      <w:r>
        <w:rPr>
          <w:b/>
          <w:bCs/>
          <w:i/>
          <w:iCs/>
          <w:sz w:val="20"/>
          <w:szCs w:val="20"/>
        </w:rPr>
        <w:t>.</w:t>
      </w:r>
    </w:p>
    <w:p w:rsidR="00000000" w:rsidRDefault="006D723D">
      <w:pPr>
        <w:pStyle w:val="a3"/>
        <w:spacing w:before="120" w:beforeAutospacing="0" w:after="0" w:afterAutospacing="0"/>
        <w:jc w:val="both"/>
        <w:rPr>
          <w:sz w:val="20"/>
          <w:szCs w:val="20"/>
        </w:rPr>
      </w:pPr>
      <w:r>
        <w:rPr>
          <w:sz w:val="20"/>
          <w:szCs w:val="20"/>
        </w:rPr>
        <w:t>The indentures related to our 4.625% senior notes due 2023 (until their repayment and satisfaction on February 1, 2023), 8.25</w:t>
      </w:r>
      <w:r>
        <w:rPr>
          <w:sz w:val="20"/>
          <w:szCs w:val="20"/>
        </w:rPr>
        <w:t xml:space="preserve">% senior notes due 2026, and 4.75% senior notes due 2027, collectively referred to herein as our senior notes, and the indentures related to our New Bank Credit Facility, together with our senior notes, our Credit Agreements, contain restrictive covenants </w:t>
      </w:r>
      <w:r>
        <w:rPr>
          <w:sz w:val="20"/>
          <w:szCs w:val="20"/>
        </w:rPr>
        <w:t>that limit our ability to engage in activities that may be in our long-term best interests. Our New Bank Credit Facility requires us to comply with certain financial covenants, including leverage and fixed charge coverage ratios. Our Credit Agreements incl</w:t>
      </w:r>
      <w:r>
        <w:rPr>
          <w:sz w:val="20"/>
          <w:szCs w:val="20"/>
        </w:rPr>
        <w:t>ude other restrictions that, among other things, limit our ability to incur indebtedness; grant liens; engage in mergers, consolidations and liquidations; make asset dispositions, make restricted payments and investments; issue disqualified stock; enter in</w:t>
      </w:r>
      <w:r>
        <w:rPr>
          <w:sz w:val="20"/>
          <w:szCs w:val="20"/>
        </w:rPr>
        <w:t xml:space="preserve">to transactions with affiliates; and amend, modify or prepay certain indebtedness. The indentures related to our senior notes contain limitations on our ability to effect mergers and change of control events, as well as other limitations on our ability to </w:t>
      </w:r>
      <w:r>
        <w:rPr>
          <w:sz w:val="20"/>
          <w:szCs w:val="20"/>
        </w:rPr>
        <w:t>create liens on our assets. The indenture related to our 8.25% senior notes due 2026 additionally limits our ability to incur indebtedness, make restricted payments and investments and prepay certain indebtedness</w:t>
      </w:r>
      <w:r>
        <w:rPr>
          <w:sz w:val="20"/>
          <w:szCs w:val="20"/>
        </w:rPr>
        <w:t>.</w:t>
      </w:r>
    </w:p>
    <w:p w:rsidR="00000000" w:rsidRDefault="006D723D">
      <w:pPr>
        <w:pStyle w:val="a3"/>
        <w:spacing w:before="240" w:beforeAutospacing="0" w:after="0" w:afterAutospacing="0"/>
        <w:jc w:val="both"/>
        <w:rPr>
          <w:sz w:val="20"/>
          <w:szCs w:val="20"/>
        </w:rPr>
      </w:pPr>
      <w:r>
        <w:rPr>
          <w:sz w:val="20"/>
          <w:szCs w:val="20"/>
        </w:rPr>
        <w:t>Our failure to comply with these covenants</w:t>
      </w:r>
      <w:r>
        <w:rPr>
          <w:sz w:val="20"/>
          <w:szCs w:val="20"/>
        </w:rPr>
        <w:t xml:space="preserve"> could result in an event of default that, if not cured or waived, could result in the acceleration of all or a substantial portion of our debt. We do not have sufficient working capital to satisfy our debt obligations in the event of an acceleration of al</w:t>
      </w:r>
      <w:r>
        <w:rPr>
          <w:sz w:val="20"/>
          <w:szCs w:val="20"/>
        </w:rPr>
        <w:t>l or a significant portion of our outstanding indebtedness</w:t>
      </w:r>
      <w:r>
        <w:rPr>
          <w:sz w:val="20"/>
          <w:szCs w:val="20"/>
        </w:rPr>
        <w:t>.</w:t>
      </w:r>
    </w:p>
    <w:p w:rsidR="00000000" w:rsidRDefault="006D723D">
      <w:pPr>
        <w:pStyle w:val="a3"/>
        <w:spacing w:before="360" w:beforeAutospacing="0" w:after="0" w:afterAutospacing="0"/>
        <w:jc w:val="both"/>
        <w:rPr>
          <w:sz w:val="20"/>
          <w:szCs w:val="20"/>
        </w:rPr>
      </w:pPr>
      <w:r>
        <w:rPr>
          <w:b/>
          <w:bCs/>
          <w:i/>
          <w:iCs/>
          <w:sz w:val="20"/>
          <w:szCs w:val="20"/>
        </w:rPr>
        <w:t>Our indebtedness is secured by a substantial portion of our assets</w:t>
      </w:r>
      <w:r>
        <w:rPr>
          <w:b/>
          <w:bCs/>
          <w:i/>
          <w:iCs/>
          <w:sz w:val="20"/>
          <w:szCs w:val="20"/>
        </w:rPr>
        <w:t>.</w:t>
      </w:r>
    </w:p>
    <w:p w:rsidR="00000000" w:rsidRDefault="006D723D">
      <w:pPr>
        <w:pStyle w:val="a3"/>
        <w:spacing w:before="120" w:beforeAutospacing="0" w:after="0" w:afterAutospacing="0"/>
        <w:jc w:val="both"/>
        <w:rPr>
          <w:sz w:val="20"/>
          <w:szCs w:val="20"/>
        </w:rPr>
      </w:pPr>
      <w:r>
        <w:rPr>
          <w:sz w:val="20"/>
          <w:szCs w:val="20"/>
        </w:rPr>
        <w:t>Our New Bank Credit Facility is secured by a pledge of all of the capital stock (or other ownership interests) of our domestic restricted subsidiaries, 65% of the capital stock (or other ownership interests) of our "first-tier" foreign subsidiaries, all of</w:t>
      </w:r>
      <w:r>
        <w:rPr>
          <w:sz w:val="20"/>
          <w:szCs w:val="20"/>
        </w:rPr>
        <w:t xml:space="preserve"> our accounts receivable and those of our domestic restricted subsidiaries, and substantially all of our deposit accounts and those of our domestic restricted subsidiaries. In the event that (a) the consolidated total leverage equals or exceeds 4.00 to 1.0</w:t>
      </w:r>
      <w:r>
        <w:rPr>
          <w:sz w:val="20"/>
          <w:szCs w:val="20"/>
        </w:rPr>
        <w:t>0 or (b) we incur certain debt above a specified threshold, certain intangible assets and unencumbered real estate assets that meet a 50% loan-to-value requirement are required to be added as collateral. Subject to compliance with the restrictive covenants</w:t>
      </w:r>
      <w:r>
        <w:rPr>
          <w:sz w:val="20"/>
          <w:szCs w:val="20"/>
        </w:rPr>
        <w:t xml:space="preserve"> under our existing indebtedness, we may incur additional indebtedness secured by existing or future assets of ours or our subsidiaries. In the event of a default under our New Bank Credit Facility or any other secured indebtedness, or if we experience ins</w:t>
      </w:r>
      <w:r>
        <w:rPr>
          <w:sz w:val="20"/>
          <w:szCs w:val="20"/>
        </w:rPr>
        <w:t>olvency, liquidation, dissolution or reorganization, the holders of our secured debt would be entitled to payment from their collateral security, and after that the holders of our unsecured debt (including the holders of any deficiency remaining after appl</w:t>
      </w:r>
      <w:r>
        <w:rPr>
          <w:sz w:val="20"/>
          <w:szCs w:val="20"/>
        </w:rPr>
        <w:t>ication of collateral to secured debt) would be entitled to payment from our remaining assets. In such an event, there can be no assurance that we would have sufficient assets to pay amounts due to holders of our unsecured debt, and unsecured debtholders m</w:t>
      </w:r>
      <w:r>
        <w:rPr>
          <w:sz w:val="20"/>
          <w:szCs w:val="20"/>
        </w:rPr>
        <w:t>ay receive less than the full amount to which they are entitled</w:t>
      </w:r>
      <w:r>
        <w:rPr>
          <w:sz w:val="20"/>
          <w:szCs w:val="20"/>
        </w:rPr>
        <w:t>.</w:t>
      </w:r>
    </w:p>
    <w:p w:rsidR="00000000" w:rsidRDefault="006D723D">
      <w:pPr>
        <w:pStyle w:val="a3"/>
        <w:spacing w:before="360" w:beforeAutospacing="0" w:after="0" w:afterAutospacing="0"/>
        <w:jc w:val="both"/>
        <w:rPr>
          <w:sz w:val="20"/>
          <w:szCs w:val="20"/>
        </w:rPr>
      </w:pPr>
      <w:r>
        <w:rPr>
          <w:b/>
          <w:bCs/>
          <w:i/>
          <w:iCs/>
          <w:sz w:val="20"/>
          <w:szCs w:val="20"/>
        </w:rPr>
        <w:t>Servicing our indebtedness will require a significant amount of cash or may require us to refinance our indebtedness before it matures. Our ability to generate cash depends on many factors be</w:t>
      </w:r>
      <w:r>
        <w:rPr>
          <w:b/>
          <w:bCs/>
          <w:i/>
          <w:iCs/>
          <w:sz w:val="20"/>
          <w:szCs w:val="20"/>
        </w:rPr>
        <w:t>yond our control and there is no assurance that we will be able to refinance our debt on acceptable terms, or at all</w:t>
      </w:r>
      <w:r>
        <w:rPr>
          <w:b/>
          <w:bCs/>
          <w:i/>
          <w:iCs/>
          <w:sz w:val="20"/>
          <w:szCs w:val="20"/>
        </w:rPr>
        <w:t>.</w:t>
      </w:r>
    </w:p>
    <w:p w:rsidR="00000000" w:rsidRDefault="006D723D">
      <w:pPr>
        <w:pStyle w:val="a3"/>
        <w:spacing w:before="120" w:beforeAutospacing="0" w:after="0" w:afterAutospacing="0"/>
        <w:jc w:val="both"/>
        <w:rPr>
          <w:sz w:val="20"/>
          <w:szCs w:val="20"/>
        </w:rPr>
      </w:pPr>
      <w:r>
        <w:rPr>
          <w:sz w:val="20"/>
          <w:szCs w:val="20"/>
        </w:rPr>
        <w:t>Currently, our New Term Loan A and New Revolving Credit Facility both mature in May 2026. On February 1, 2023, we repaid the outstanding p</w:t>
      </w:r>
      <w:r>
        <w:rPr>
          <w:sz w:val="20"/>
          <w:szCs w:val="20"/>
        </w:rPr>
        <w:t xml:space="preserve">rincipal amount of our 4.625% senior notes due 2023, which had an outstanding principal balance of $153.8 million as of December 31, 2022. We also have outstanding $614.1 million in aggregate principal amount of our 8.25% senior notes due 2026, and $250.0 </w:t>
      </w:r>
      <w:r>
        <w:rPr>
          <w:sz w:val="20"/>
          <w:szCs w:val="20"/>
        </w:rPr>
        <w:t xml:space="preserve">million in aggregate principal amount of our 4.75% senior notes due 2027. In addition, we have $150.4 million outstanding under a non-recourse mortgage note with an interest rate of 4.43% maturing in 2040. Our ability to make payments on our indebtedness, </w:t>
      </w:r>
      <w:r>
        <w:rPr>
          <w:sz w:val="20"/>
          <w:szCs w:val="20"/>
        </w:rPr>
        <w:t>to refinance our indebtedness, and to fund planned capital expenditures will depend on our ability to generate cash in the future. This, to a certain extent, is subject to general economic, financial, competitive, legislative, regulatory, and other factors</w:t>
      </w:r>
      <w:r>
        <w:rPr>
          <w:sz w:val="20"/>
          <w:szCs w:val="20"/>
        </w:rPr>
        <w:t xml:space="preserve"> that are beyond our control</w:t>
      </w:r>
      <w:r>
        <w:rPr>
          <w:sz w:val="20"/>
          <w:szCs w:val="20"/>
        </w:rPr>
        <w:t>.</w:t>
      </w:r>
    </w:p>
    <w:p w:rsidR="00000000" w:rsidRDefault="006D723D">
      <w:pPr>
        <w:pStyle w:val="a3"/>
        <w:spacing w:before="240" w:beforeAutospacing="0" w:after="0" w:afterAutospacing="0"/>
        <w:jc w:val="both"/>
        <w:rPr>
          <w:sz w:val="20"/>
          <w:szCs w:val="20"/>
        </w:rPr>
      </w:pPr>
      <w:r>
        <w:rPr>
          <w:sz w:val="20"/>
          <w:szCs w:val="20"/>
        </w:rPr>
        <w:t>The risk exists that our business will be unable to generate sufficient cash flow from operations or that future borrowings will not be available to us in an amount sufficient to enable us to pay our indebtedness, including ou</w:t>
      </w:r>
      <w:r>
        <w:rPr>
          <w:sz w:val="20"/>
          <w:szCs w:val="20"/>
        </w:rPr>
        <w:t>r existing senior notes, or to fund our other liquidity needs. We may need to refinance all or a portion of our indebtedness, including our senior notes, on or before maturity. Our ability to refinance all or a portion of our indebtedness on acceptable ter</w:t>
      </w:r>
      <w:r>
        <w:rPr>
          <w:sz w:val="20"/>
          <w:szCs w:val="20"/>
        </w:rPr>
        <w:t>ms, or at all, will be dependent upon a number of factors, including our degree o</w:t>
      </w:r>
      <w:r>
        <w:rPr>
          <w:sz w:val="20"/>
          <w:szCs w:val="20"/>
        </w:rPr>
        <w:t>f</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5</w:t>
      </w:r>
      <w:r>
        <w:rPr>
          <w:sz w:val="20"/>
          <w:szCs w:val="20"/>
        </w:rPr>
        <w:t>6</w:t>
      </w:r>
    </w:p>
    <w:p w:rsidR="00000000" w:rsidRDefault="006D723D">
      <w:pPr>
        <w:rPr>
          <w:rFonts w:eastAsia="Times New Roman"/>
        </w:rPr>
      </w:pPr>
      <w:r>
        <w:rPr>
          <w:rFonts w:eastAsia="Times New Roman"/>
        </w:rPr>
        <w:pict>
          <v:rect id="_x0000_i1080"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leverage, the amount of our cash flows, the value of our assets, borrowing and other financial restrictions imposed by lenders, an</w:t>
      </w:r>
      <w:r>
        <w:rPr>
          <w:sz w:val="20"/>
          <w:szCs w:val="20"/>
        </w:rPr>
        <w:t xml:space="preserve">d conditions in the credit markets at the time we refinance. If we are unable to refinance our indebtedness on acceptable terms, we may be forced to agree to otherwise unfavorable financing terms or to sell one or more properties at unattractive prices or </w:t>
      </w:r>
      <w:r>
        <w:rPr>
          <w:sz w:val="20"/>
          <w:szCs w:val="20"/>
        </w:rPr>
        <w:t>on disadvantageous terms. Any one of these options could have a material adverse effect on our business, financial condition, results of operations and our cash flows</w:t>
      </w:r>
      <w:r>
        <w:rPr>
          <w:sz w:val="20"/>
          <w:szCs w:val="20"/>
        </w:rPr>
        <w:t>.</w:t>
      </w:r>
    </w:p>
    <w:p w:rsidR="00000000" w:rsidRDefault="006D723D">
      <w:pPr>
        <w:pStyle w:val="a3"/>
        <w:spacing w:before="360" w:beforeAutospacing="0" w:after="0" w:afterAutospacing="0"/>
        <w:jc w:val="both"/>
        <w:rPr>
          <w:sz w:val="20"/>
          <w:szCs w:val="20"/>
        </w:rPr>
      </w:pPr>
      <w:r>
        <w:rPr>
          <w:b/>
          <w:bCs/>
          <w:i/>
          <w:iCs/>
          <w:sz w:val="20"/>
          <w:szCs w:val="20"/>
        </w:rPr>
        <w:t>We are required to repurchase all or a portion of our senior notes upon a change of cont</w:t>
      </w:r>
      <w:r>
        <w:rPr>
          <w:b/>
          <w:bCs/>
          <w:i/>
          <w:iCs/>
          <w:sz w:val="20"/>
          <w:szCs w:val="20"/>
        </w:rPr>
        <w:t>rol, and the debt under our New Bank Credit Facility is subject to acceleration upon a change of control</w:t>
      </w:r>
      <w:r>
        <w:rPr>
          <w:b/>
          <w:bCs/>
          <w:i/>
          <w:iCs/>
          <w:sz w:val="20"/>
          <w:szCs w:val="20"/>
        </w:rPr>
        <w:t>.</w:t>
      </w:r>
    </w:p>
    <w:p w:rsidR="00000000" w:rsidRDefault="006D723D">
      <w:pPr>
        <w:pStyle w:val="a3"/>
        <w:spacing w:before="120" w:beforeAutospacing="0" w:after="0" w:afterAutospacing="0"/>
        <w:jc w:val="both"/>
        <w:rPr>
          <w:sz w:val="20"/>
          <w:szCs w:val="20"/>
        </w:rPr>
      </w:pPr>
      <w:r>
        <w:rPr>
          <w:sz w:val="20"/>
          <w:szCs w:val="20"/>
        </w:rPr>
        <w:t>Upon certain change of control events, as that term is defined in the indentures for our senior notes, including a change of control caused by an unso</w:t>
      </w:r>
      <w:r>
        <w:rPr>
          <w:sz w:val="20"/>
          <w:szCs w:val="20"/>
        </w:rPr>
        <w:t>licited third party, we are required to make an offer in cash to repurchase all or any part of each holder's notes at a repurchase price equal to 101% of the principal thereof, plus accrued interest. The source of funds for any such repurchase would be our</w:t>
      </w:r>
      <w:r>
        <w:rPr>
          <w:sz w:val="20"/>
          <w:szCs w:val="20"/>
        </w:rPr>
        <w:t xml:space="preserve"> available cash or cash generated from operations or other sources, including borrowings, sales of equity or funds provided by a new controlling person or entity. Sufficient funds may not be available to us, however, at the time of any change of control ev</w:t>
      </w:r>
      <w:r>
        <w:rPr>
          <w:sz w:val="20"/>
          <w:szCs w:val="20"/>
        </w:rPr>
        <w:t xml:space="preserve">ent to repurchase all or a portion of the tendered notes pursuant to this requirement. Our failure to offer to repurchase notes, or to repurchase notes tendered, following a change of control will result in a default under the respective indentures, which </w:t>
      </w:r>
      <w:r>
        <w:rPr>
          <w:sz w:val="20"/>
          <w:szCs w:val="20"/>
        </w:rPr>
        <w:t xml:space="preserve">could lead to a cross-default under our New Bank Credit Facility and under the terms of our other indebtedness. A change in control (as described in our New Bank Credit Facility), is also a default under our New Bank Credit Facility, entitling the lenders </w:t>
      </w:r>
      <w:r>
        <w:rPr>
          <w:sz w:val="20"/>
          <w:szCs w:val="20"/>
        </w:rPr>
        <w:t>to refuse to make further extensions of credit thereunder and to accelerate the maturity of the debt outstanding under the New Bank Credit Facility. Prior to repurchasing the notes upon a change of control event, we must either repay outstanding indebtedne</w:t>
      </w:r>
      <w:r>
        <w:rPr>
          <w:sz w:val="20"/>
          <w:szCs w:val="20"/>
        </w:rPr>
        <w:t>ss under our New Bank Credit Facility or obtain the consent of the lenders under our New Bank Credit Facility. If we do not obtain the required consents or repay our outstanding indebtedness under our New Bank Credit Facility, we would effectively be preve</w:t>
      </w:r>
      <w:r>
        <w:rPr>
          <w:sz w:val="20"/>
          <w:szCs w:val="20"/>
        </w:rPr>
        <w:t>nted from offering to repurchase the notes, which would cause a default under the indentures governing the notes</w:t>
      </w:r>
      <w:r>
        <w:rPr>
          <w:sz w:val="20"/>
          <w:szCs w:val="20"/>
        </w:rPr>
        <w:t>.</w:t>
      </w:r>
    </w:p>
    <w:p w:rsidR="00000000" w:rsidRDefault="006D723D">
      <w:pPr>
        <w:pStyle w:val="a3"/>
        <w:spacing w:before="360" w:beforeAutospacing="0" w:after="0" w:afterAutospacing="0"/>
        <w:jc w:val="both"/>
        <w:rPr>
          <w:sz w:val="20"/>
          <w:szCs w:val="20"/>
        </w:rPr>
      </w:pPr>
      <w:r>
        <w:rPr>
          <w:b/>
          <w:bCs/>
          <w:i/>
          <w:iCs/>
          <w:sz w:val="20"/>
          <w:szCs w:val="20"/>
        </w:rPr>
        <w:t>Despite current indebtedness levels, we may still incur more debt</w:t>
      </w:r>
      <w:r>
        <w:rPr>
          <w:b/>
          <w:bCs/>
          <w:i/>
          <w:iCs/>
          <w:sz w:val="20"/>
          <w:szCs w:val="20"/>
        </w:rPr>
        <w:t>.</w:t>
      </w:r>
    </w:p>
    <w:p w:rsidR="00000000" w:rsidRDefault="006D723D">
      <w:pPr>
        <w:pStyle w:val="a3"/>
        <w:spacing w:before="120" w:beforeAutospacing="0" w:after="0" w:afterAutospacing="0"/>
        <w:jc w:val="both"/>
        <w:rPr>
          <w:sz w:val="20"/>
          <w:szCs w:val="20"/>
        </w:rPr>
      </w:pPr>
      <w:r>
        <w:rPr>
          <w:sz w:val="20"/>
          <w:szCs w:val="20"/>
        </w:rPr>
        <w:t>The terms of the indentures for our senior notes and our New Bank Credit Fa</w:t>
      </w:r>
      <w:r>
        <w:rPr>
          <w:sz w:val="20"/>
          <w:szCs w:val="20"/>
        </w:rPr>
        <w:t xml:space="preserve">cility restrict our ability to incur indebtedness; however, we may nevertheless incur additional indebtedness in the future, and in the future, we may refinance all or a portion of our indebtedness, including our New Bank Credit Facility indebtedness, and </w:t>
      </w:r>
      <w:r>
        <w:rPr>
          <w:sz w:val="20"/>
          <w:szCs w:val="20"/>
        </w:rPr>
        <w:t>may incur additional indebtedness as a result so long as we comply with the limitations in our senior notes and New Bank Credit Facility while they are in effect. As of December 31, 2022, we had $233.2 million of additional borrowing capacity available und</w:t>
      </w:r>
      <w:r>
        <w:rPr>
          <w:sz w:val="20"/>
          <w:szCs w:val="20"/>
        </w:rPr>
        <w:t>er our New Revolving Credit Facility. The New Bank Credit Facility includes an option to increase the availability under the New Revolving Credit Facility and to request term loans from the lenders in an aggregate amount not to exceed the greater of (a) $2</w:t>
      </w:r>
      <w:r>
        <w:rPr>
          <w:sz w:val="20"/>
          <w:szCs w:val="20"/>
        </w:rPr>
        <w:t>00.0 million and (b) 50% of consolidated EBITDA for the most recently ended four-quarter period, subject to, among other things, the receipt of commitments for the increased amount. In addition, so long as we comply with the limitations in our senior notes</w:t>
      </w:r>
      <w:r>
        <w:rPr>
          <w:sz w:val="20"/>
          <w:szCs w:val="20"/>
        </w:rPr>
        <w:t xml:space="preserve"> and New Bank Credit Facility while they are in effect, we may incur additional debt from time to time when we determine that market conditions and the opportunity to utilize the proceeds therefrom are favorable. If new debt is added to our and our subsidi</w:t>
      </w:r>
      <w:r>
        <w:rPr>
          <w:sz w:val="20"/>
          <w:szCs w:val="20"/>
        </w:rPr>
        <w:t>aries' current debt levels, the related risks that we and they now face could intensify</w:t>
      </w:r>
      <w:r>
        <w:rPr>
          <w:sz w:val="20"/>
          <w:szCs w:val="20"/>
        </w:rPr>
        <w:t>.</w:t>
      </w:r>
    </w:p>
    <w:p w:rsidR="00000000" w:rsidRDefault="006D723D">
      <w:pPr>
        <w:pStyle w:val="a3"/>
        <w:spacing w:before="240" w:beforeAutospacing="0" w:after="0" w:afterAutospacing="0"/>
        <w:jc w:val="center"/>
        <w:rPr>
          <w:sz w:val="20"/>
          <w:szCs w:val="20"/>
        </w:rPr>
      </w:pPr>
      <w:r>
        <w:rPr>
          <w:sz w:val="20"/>
          <w:szCs w:val="20"/>
        </w:rPr>
        <w:t>5</w:t>
      </w:r>
      <w:r>
        <w:rPr>
          <w:sz w:val="20"/>
          <w:szCs w:val="20"/>
        </w:rPr>
        <w:t>7</w:t>
      </w:r>
    </w:p>
    <w:p w:rsidR="00000000" w:rsidRDefault="006D723D">
      <w:pPr>
        <w:rPr>
          <w:rFonts w:eastAsia="Times New Roman"/>
        </w:rPr>
      </w:pPr>
      <w:r>
        <w:rPr>
          <w:rFonts w:eastAsia="Times New Roman"/>
        </w:rPr>
        <w:pict>
          <v:rect id="_x0000_i1081"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360" w:beforeAutospacing="0" w:after="0" w:afterAutospacing="0"/>
        <w:jc w:val="both"/>
        <w:rPr>
          <w:sz w:val="20"/>
          <w:szCs w:val="20"/>
        </w:rPr>
      </w:pPr>
      <w:r>
        <w:rPr>
          <w:b/>
          <w:bCs/>
          <w:i/>
          <w:iCs/>
          <w:sz w:val="20"/>
          <w:szCs w:val="20"/>
        </w:rPr>
        <w:t>Our access to capital may be affected by general macroeconomic conditions</w:t>
      </w:r>
      <w:r>
        <w:rPr>
          <w:b/>
          <w:bCs/>
          <w:i/>
          <w:iCs/>
          <w:sz w:val="20"/>
          <w:szCs w:val="20"/>
        </w:rPr>
        <w:t>.</w:t>
      </w:r>
    </w:p>
    <w:p w:rsidR="00000000" w:rsidRDefault="006D723D">
      <w:pPr>
        <w:pStyle w:val="a3"/>
        <w:spacing w:before="120" w:beforeAutospacing="0" w:after="0" w:afterAutospacing="0"/>
        <w:jc w:val="both"/>
        <w:rPr>
          <w:sz w:val="20"/>
          <w:szCs w:val="20"/>
        </w:rPr>
      </w:pPr>
      <w:r>
        <w:rPr>
          <w:sz w:val="20"/>
          <w:szCs w:val="20"/>
        </w:rPr>
        <w:t>Credit markets may tighten significantly for variou</w:t>
      </w:r>
      <w:r>
        <w:rPr>
          <w:sz w:val="20"/>
          <w:szCs w:val="20"/>
        </w:rPr>
        <w:t>s reasons that may or may not result from company-specific activities such that our ability to obtain new capital could be more challenging and more expensive. Further, we can provide no assurance that the banks that have made commitments under our New Ban</w:t>
      </w:r>
      <w:r>
        <w:rPr>
          <w:sz w:val="20"/>
          <w:szCs w:val="20"/>
        </w:rPr>
        <w:t>k Credit Facility will continue to operate as going concerns in the future or will agree to extend commitments beyond the maturity date. If any of the banks in the lending group were to fail, or fail to renew their commitments, it is possible that the capa</w:t>
      </w:r>
      <w:r>
        <w:rPr>
          <w:sz w:val="20"/>
          <w:szCs w:val="20"/>
        </w:rPr>
        <w:t xml:space="preserve">city under our New Bank Credit Facility would be reduced. In the event that the availability under our New Bank Credit Facility was reduced significantly, we could be required to obtain capital from alternate sources in order to continue with our business </w:t>
      </w:r>
      <w:r>
        <w:rPr>
          <w:sz w:val="20"/>
          <w:szCs w:val="20"/>
        </w:rPr>
        <w:t>and capital strategies. Our options for addressing such capital constraints would include, but not be limited to (i) delaying certain capital expenditure projects, (ii) obtaining commitments from the remaining banks in the lending group or from new banks t</w:t>
      </w:r>
      <w:r>
        <w:rPr>
          <w:sz w:val="20"/>
          <w:szCs w:val="20"/>
        </w:rPr>
        <w:t xml:space="preserve">o fund increased or new amounts under the terms of our New Bank Credit Facility, (iii) accessing the public capital markets, or (iv) retaining more of our cash flow. Such alternatives could be on terms less favorable than under existing terms, which could </w:t>
      </w:r>
      <w:r>
        <w:rPr>
          <w:sz w:val="20"/>
          <w:szCs w:val="20"/>
        </w:rPr>
        <w:t>have a material effect on our consolidated financial position, results of operations, or cash flows</w:t>
      </w:r>
      <w:r>
        <w:rPr>
          <w:sz w:val="20"/>
          <w:szCs w:val="20"/>
        </w:rPr>
        <w:t>.</w:t>
      </w:r>
    </w:p>
    <w:p w:rsidR="00000000" w:rsidRDefault="006D723D">
      <w:pPr>
        <w:pStyle w:val="a3"/>
        <w:spacing w:before="360" w:beforeAutospacing="0" w:after="0" w:afterAutospacing="0"/>
        <w:jc w:val="both"/>
        <w:rPr>
          <w:sz w:val="20"/>
          <w:szCs w:val="20"/>
        </w:rPr>
      </w:pPr>
      <w:r>
        <w:rPr>
          <w:b/>
          <w:bCs/>
          <w:i/>
          <w:iCs/>
          <w:sz w:val="20"/>
          <w:szCs w:val="20"/>
        </w:rPr>
        <w:t>Increasing activist resistance to the use of public-private partnerships for correctional, detention, and residential reentry facilities could impact our a</w:t>
      </w:r>
      <w:r>
        <w:rPr>
          <w:b/>
          <w:bCs/>
          <w:i/>
          <w:iCs/>
          <w:sz w:val="20"/>
          <w:szCs w:val="20"/>
        </w:rPr>
        <w:t>bility to obtain financing to grow our business or to refinance existing indebtedness, which could have a material adverse effect on our business, financial condition and results of operations</w:t>
      </w:r>
      <w:r>
        <w:rPr>
          <w:b/>
          <w:bCs/>
          <w:i/>
          <w:iCs/>
          <w:sz w:val="20"/>
          <w:szCs w:val="20"/>
        </w:rPr>
        <w:t>.</w:t>
      </w:r>
    </w:p>
    <w:p w:rsidR="00000000" w:rsidRDefault="006D723D">
      <w:pPr>
        <w:pStyle w:val="a3"/>
        <w:spacing w:before="120" w:beforeAutospacing="0" w:after="0" w:afterAutospacing="0"/>
        <w:jc w:val="both"/>
        <w:rPr>
          <w:sz w:val="20"/>
          <w:szCs w:val="20"/>
        </w:rPr>
      </w:pPr>
      <w:r>
        <w:rPr>
          <w:sz w:val="20"/>
          <w:szCs w:val="20"/>
        </w:rPr>
        <w:t xml:space="preserve">Our company does not, under longstanding policy, lobby for or </w:t>
      </w:r>
      <w:r>
        <w:rPr>
          <w:sz w:val="20"/>
          <w:szCs w:val="20"/>
        </w:rPr>
        <w:t>against policies or legislation that would determine the basis for, or duration of, an individual's incarceration or detention. This strict policy also applies to external government relations professionals working on our behalf at all levels of government</w:t>
      </w:r>
      <w:r>
        <w:rPr>
          <w:sz w:val="20"/>
          <w:szCs w:val="20"/>
        </w:rPr>
        <w:t>. Nonetheless, contracting for correctional, detention, and residential reentry facilities and related services has not achieved complete acceptance by certain governments or the public at large. The operation of correctional, detention, and residential re</w:t>
      </w:r>
      <w:r>
        <w:rPr>
          <w:sz w:val="20"/>
          <w:szCs w:val="20"/>
        </w:rPr>
        <w:t>entry facilities by private entities has encountered resistance from certain groups, such as immigration advocates, labor unions, prison reform organizations and other special interest groups that believe correctional, detention, and residential reentry fa</w:t>
      </w:r>
      <w:r>
        <w:rPr>
          <w:sz w:val="20"/>
          <w:szCs w:val="20"/>
        </w:rPr>
        <w:t>cilities should only be operated by governmental agencies, or that alternatives to immigrant detention should be utilized to enforce the nation's border policies. Further,</w:t>
      </w:r>
      <w:r>
        <w:rPr>
          <w:sz w:val="20"/>
          <w:szCs w:val="20"/>
        </w:rPr>
        <w:t xml:space="preserve"> </w:t>
      </w:r>
      <w:r>
        <w:rPr>
          <w:sz w:val="20"/>
          <w:szCs w:val="20"/>
        </w:rPr>
        <w:t xml:space="preserve">opposition to immigration, detention and incarceration policies and the association </w:t>
      </w:r>
      <w:r>
        <w:rPr>
          <w:sz w:val="20"/>
          <w:szCs w:val="20"/>
        </w:rPr>
        <w:t>of private companies with the enforcement of such policies have caused some financial institutions to decline to provide capital, credit or financial services to private entities that own or operate correctional and detention facilities, including CoreCivi</w:t>
      </w:r>
      <w:r>
        <w:rPr>
          <w:sz w:val="20"/>
          <w:szCs w:val="20"/>
        </w:rPr>
        <w:t>c, or to otherwise participate in the provision of capital, credit or financial services in connection with the development of correctional and detention facilities that are associated with private companies. While we believe we will continue to have acces</w:t>
      </w:r>
      <w:r>
        <w:rPr>
          <w:sz w:val="20"/>
          <w:szCs w:val="20"/>
        </w:rPr>
        <w:t>s to capital, restrictions on our access to capital, or increases in the cost of capital, could have a material adverse effect on our business, financial condition and results of operation</w:t>
      </w:r>
      <w:r>
        <w:rPr>
          <w:sz w:val="20"/>
          <w:szCs w:val="20"/>
        </w:rPr>
        <w:t>s</w:t>
      </w:r>
      <w:r>
        <w:rPr>
          <w:sz w:val="20"/>
          <w:szCs w:val="20"/>
        </w:rPr>
        <w:t>.</w:t>
      </w:r>
      <w:r>
        <w:rPr>
          <w:b/>
          <w:bCs/>
          <w:i/>
          <w:iCs/>
          <w:sz w:val="20"/>
          <w:szCs w:val="20"/>
        </w:rPr>
        <w:t xml:space="preserve"> </w:t>
      </w:r>
    </w:p>
    <w:p w:rsidR="00000000" w:rsidRDefault="006D723D">
      <w:pPr>
        <w:pStyle w:val="a3"/>
        <w:spacing w:before="360" w:beforeAutospacing="0" w:after="0" w:afterAutospacing="0"/>
        <w:jc w:val="both"/>
        <w:rPr>
          <w:sz w:val="20"/>
          <w:szCs w:val="20"/>
        </w:rPr>
      </w:pPr>
      <w:r>
        <w:rPr>
          <w:b/>
          <w:bCs/>
          <w:i/>
          <w:iCs/>
          <w:sz w:val="20"/>
          <w:szCs w:val="20"/>
        </w:rPr>
        <w:t>Rising interest rates increase the cost of our variable rate deb</w:t>
      </w:r>
      <w:r>
        <w:rPr>
          <w:b/>
          <w:bCs/>
          <w:i/>
          <w:iCs/>
          <w:sz w:val="20"/>
          <w:szCs w:val="20"/>
        </w:rPr>
        <w:t>t</w:t>
      </w:r>
      <w:r>
        <w:rPr>
          <w:b/>
          <w:bCs/>
          <w:i/>
          <w:iCs/>
          <w:sz w:val="20"/>
          <w:szCs w:val="20"/>
        </w:rPr>
        <w:t>.</w:t>
      </w:r>
      <w:r>
        <w:rPr>
          <w:b/>
          <w:bCs/>
          <w:i/>
          <w:iCs/>
          <w:sz w:val="20"/>
          <w:szCs w:val="20"/>
        </w:rPr>
        <w:t xml:space="preserve"> </w:t>
      </w:r>
    </w:p>
    <w:p w:rsidR="00000000" w:rsidRDefault="006D723D">
      <w:pPr>
        <w:pStyle w:val="a3"/>
        <w:spacing w:before="120" w:beforeAutospacing="0" w:after="0" w:afterAutospacing="0"/>
        <w:jc w:val="both"/>
        <w:rPr>
          <w:sz w:val="20"/>
          <w:szCs w:val="20"/>
        </w:rPr>
      </w:pPr>
      <w:r>
        <w:rPr>
          <w:sz w:val="20"/>
          <w:szCs w:val="20"/>
        </w:rPr>
        <w:t>We have incurred and expect in the future to incur indebtedness that bears interest at variable rates, including indebtedness under our New Bank Credit Facility. Accordingly, rising interest rates increase our interest costs, which could have an advers</w:t>
      </w:r>
      <w:r>
        <w:rPr>
          <w:sz w:val="20"/>
          <w:szCs w:val="20"/>
        </w:rPr>
        <w:t>e impact on us and our ability to pay down our debt, return capital to our stockholders and pay maturing debt or cause us to be in default under certain debt instruments</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5</w:t>
      </w:r>
      <w:r>
        <w:rPr>
          <w:sz w:val="20"/>
          <w:szCs w:val="20"/>
        </w:rPr>
        <w:t>8</w:t>
      </w:r>
    </w:p>
    <w:p w:rsidR="00000000" w:rsidRDefault="006D723D">
      <w:pPr>
        <w:rPr>
          <w:rFonts w:eastAsia="Times New Roman"/>
        </w:rPr>
      </w:pPr>
      <w:r>
        <w:rPr>
          <w:rFonts w:eastAsia="Times New Roman"/>
        </w:rPr>
        <w:pict>
          <v:rect id="_x0000_i1082"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360" w:beforeAutospacing="0" w:after="0" w:afterAutospacing="0"/>
        <w:jc w:val="both"/>
        <w:rPr>
          <w:sz w:val="20"/>
          <w:szCs w:val="20"/>
        </w:rPr>
      </w:pPr>
      <w:r>
        <w:rPr>
          <w:b/>
          <w:bCs/>
          <w:sz w:val="20"/>
          <w:szCs w:val="20"/>
        </w:rPr>
        <w:t>Risks Related to our Corporate Tax Structur</w:t>
      </w:r>
      <w:r>
        <w:rPr>
          <w:b/>
          <w:bCs/>
          <w:sz w:val="20"/>
          <w:szCs w:val="20"/>
        </w:rPr>
        <w:t>e</w:t>
      </w:r>
    </w:p>
    <w:p w:rsidR="00000000" w:rsidRDefault="006D723D">
      <w:pPr>
        <w:pStyle w:val="a3"/>
        <w:spacing w:before="240" w:beforeAutospacing="0" w:after="0" w:afterAutospacing="0"/>
        <w:jc w:val="both"/>
        <w:rPr>
          <w:sz w:val="20"/>
          <w:szCs w:val="20"/>
        </w:rPr>
      </w:pPr>
      <w:r>
        <w:rPr>
          <w:b/>
          <w:bCs/>
          <w:i/>
          <w:iCs/>
          <w:sz w:val="20"/>
          <w:szCs w:val="20"/>
        </w:rPr>
        <w:t>We may fail to realize the anticipated benefits of revoking our REIT election and becoming a taxable C Corporation effective January 1, 2021, or those benefits may take longer to realize than expected, if at all, or may not offset the costs of revoking our</w:t>
      </w:r>
      <w:r>
        <w:rPr>
          <w:b/>
          <w:bCs/>
          <w:i/>
          <w:iCs/>
          <w:sz w:val="20"/>
          <w:szCs w:val="20"/>
        </w:rPr>
        <w:t xml:space="preserve"> REIT election and becoming a taxable C Corporation</w:t>
      </w:r>
      <w:r>
        <w:rPr>
          <w:b/>
          <w:bCs/>
          <w:i/>
          <w:iCs/>
          <w:sz w:val="20"/>
          <w:szCs w:val="20"/>
        </w:rPr>
        <w:t>.</w:t>
      </w:r>
    </w:p>
    <w:p w:rsidR="00000000" w:rsidRDefault="006D723D">
      <w:pPr>
        <w:pStyle w:val="a3"/>
        <w:spacing w:before="120" w:beforeAutospacing="0" w:after="0" w:afterAutospacing="0"/>
        <w:jc w:val="both"/>
        <w:rPr>
          <w:sz w:val="20"/>
          <w:szCs w:val="20"/>
        </w:rPr>
      </w:pPr>
      <w:r>
        <w:rPr>
          <w:sz w:val="20"/>
          <w:szCs w:val="20"/>
        </w:rPr>
        <w:t>We believe that revoking our REIT election and becoming a taxable C Corporation, among other things, provides us with greater flexibility to use our free cash flows as we are no longer required to operat</w:t>
      </w:r>
      <w:r>
        <w:rPr>
          <w:sz w:val="20"/>
          <w:szCs w:val="20"/>
        </w:rPr>
        <w:t>e under the REIT rules, including the requirement to distribute at least 90% of our taxable income to our stockholders. However, the amount of our free cash flows may not meet our expectations, which may reduce, or eliminate, the anticipated benefits of th</w:t>
      </w:r>
      <w:r>
        <w:rPr>
          <w:sz w:val="20"/>
          <w:szCs w:val="20"/>
        </w:rPr>
        <w:t>e transition from a REIT to a taxable C Corporation. For example, if our cash flows do not meet our expectations, our ability to implement our new capital allocation strategy may be delayed, and we may not be able to reduce our debt as quickly as we desire</w:t>
      </w:r>
      <w:r>
        <w:rPr>
          <w:sz w:val="20"/>
          <w:szCs w:val="20"/>
        </w:rPr>
        <w:t>. Moreover, there can be no assurance that the anticipated benefits of the transition from a REIT to a taxable C Corporation will offset its costs, which could be greater than we expect. Our failure to achieve the anticipated benefits of the transition fro</w:t>
      </w:r>
      <w:r>
        <w:rPr>
          <w:sz w:val="20"/>
          <w:szCs w:val="20"/>
        </w:rPr>
        <w:t>m a REIT to a taxable C Corporation at all, or in a timely manner, or a failure of any benefits realized to offset its costs, could negatively affect our business, financial condition, results of operations or the market price of our common stock</w:t>
      </w:r>
      <w:r>
        <w:rPr>
          <w:sz w:val="20"/>
          <w:szCs w:val="20"/>
        </w:rPr>
        <w:t>.</w:t>
      </w:r>
    </w:p>
    <w:p w:rsidR="00000000" w:rsidRDefault="006D723D">
      <w:pPr>
        <w:pStyle w:val="a3"/>
        <w:spacing w:before="360" w:beforeAutospacing="0" w:after="0" w:afterAutospacing="0"/>
        <w:jc w:val="both"/>
        <w:rPr>
          <w:sz w:val="20"/>
          <w:szCs w:val="20"/>
        </w:rPr>
      </w:pPr>
      <w:r>
        <w:rPr>
          <w:b/>
          <w:bCs/>
          <w:i/>
          <w:iCs/>
          <w:sz w:val="20"/>
          <w:szCs w:val="20"/>
        </w:rPr>
        <w:t>If we fa</w:t>
      </w:r>
      <w:r>
        <w:rPr>
          <w:b/>
          <w:bCs/>
          <w:i/>
          <w:iCs/>
          <w:sz w:val="20"/>
          <w:szCs w:val="20"/>
        </w:rPr>
        <w:t>iled to remain qualified as a REIT for those years we elected REIT status, we would be subject to corporate income taxes and would not be able to deduct distributions to stockholders when computing our taxable income for those years</w:t>
      </w:r>
      <w:r>
        <w:rPr>
          <w:b/>
          <w:bCs/>
          <w:i/>
          <w:iCs/>
          <w:sz w:val="20"/>
          <w:szCs w:val="20"/>
        </w:rPr>
        <w:t>.</w:t>
      </w:r>
    </w:p>
    <w:p w:rsidR="00000000" w:rsidRDefault="006D723D">
      <w:pPr>
        <w:pStyle w:val="a3"/>
        <w:spacing w:before="120" w:beforeAutospacing="0" w:after="0" w:afterAutospacing="0"/>
        <w:jc w:val="both"/>
        <w:rPr>
          <w:sz w:val="20"/>
          <w:szCs w:val="20"/>
        </w:rPr>
      </w:pPr>
      <w:r>
        <w:rPr>
          <w:sz w:val="20"/>
          <w:szCs w:val="20"/>
        </w:rPr>
        <w:t>We operated in a manne</w:t>
      </w:r>
      <w:r>
        <w:rPr>
          <w:sz w:val="20"/>
          <w:szCs w:val="20"/>
        </w:rPr>
        <w:t>r that was intended to allow us to qualify as a REIT for federal income tax purposes during those years we elected REIT status, 2013 through 2020. However, we cannot assure you that we qualified as a REIT during those years. Qualification as a REIT require</w:t>
      </w:r>
      <w:r>
        <w:rPr>
          <w:sz w:val="20"/>
          <w:szCs w:val="20"/>
        </w:rPr>
        <w:t>d us to satisfy numerous requirements established under highly technical and complex sections of the Internal Revenue Code of 1986, as amended, or the Code, which may change from time to time and for which there are only limited judicial and administrative</w:t>
      </w:r>
      <w:r>
        <w:rPr>
          <w:sz w:val="20"/>
          <w:szCs w:val="20"/>
        </w:rPr>
        <w:t xml:space="preserve"> interpretations. Satisfaction of these requirements depended on the determination of various factual matters and circumstances not entirely within our control. For example, in order to qualify as a REIT, the REIT must derive at least 95% of its gross inco</w:t>
      </w:r>
      <w:r>
        <w:rPr>
          <w:sz w:val="20"/>
          <w:szCs w:val="20"/>
        </w:rPr>
        <w:t>me in any year from qualifying sources. In addition, a REIT is required to distribute annually to its stockholders at least 90% of its REIT taxable income (determined without regard to the dividends paid deduction and by excluding capital gains) and must s</w:t>
      </w:r>
      <w:r>
        <w:rPr>
          <w:sz w:val="20"/>
          <w:szCs w:val="20"/>
        </w:rPr>
        <w:t>atisfy specified asset tests on a quarterly basis. These REIT provisions of the Code are complex and are not always subject to clear interpretation</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If we failed to qualify as a REIT in any taxable year we elected REIT status, we would be subject to feder</w:t>
      </w:r>
      <w:r>
        <w:rPr>
          <w:sz w:val="20"/>
          <w:szCs w:val="20"/>
        </w:rPr>
        <w:t>al income tax (including any applicable alternative minimum tax for years before 2018 and after 2022) on our taxable income computed in the usual manner for corporate taxpayers and without any deduction for distributions to our stockholders. Any such corpo</w:t>
      </w:r>
      <w:r>
        <w:rPr>
          <w:sz w:val="20"/>
          <w:szCs w:val="20"/>
        </w:rPr>
        <w:t>rate income tax liability could be substantial and would reduce the amount of cash available for other purposes, because, unless we would be entitled to relief under certain statutory provisions, we would be taxable as a C Corporation, beginning in the yea</w:t>
      </w:r>
      <w:r>
        <w:rPr>
          <w:sz w:val="20"/>
          <w:szCs w:val="20"/>
        </w:rPr>
        <w:t>r in which the failure occurred and for each year thereafter, and we would not be allowed to re-elect to be taxed as a REIT for the following four years. In addition, it is possible that we would need to borrow additional funds or issue additional securiti</w:t>
      </w:r>
      <w:r>
        <w:rPr>
          <w:sz w:val="20"/>
          <w:szCs w:val="20"/>
        </w:rPr>
        <w:t>es to pay any such additional tax liability</w:t>
      </w:r>
      <w:r>
        <w:rPr>
          <w:sz w:val="20"/>
          <w:szCs w:val="20"/>
        </w:rPr>
        <w:t>.</w:t>
      </w:r>
    </w:p>
    <w:p w:rsidR="00000000" w:rsidRDefault="006D723D">
      <w:pPr>
        <w:pStyle w:val="a3"/>
        <w:spacing w:before="240" w:beforeAutospacing="0" w:after="0" w:afterAutospacing="0"/>
        <w:jc w:val="center"/>
        <w:rPr>
          <w:sz w:val="20"/>
          <w:szCs w:val="20"/>
        </w:rPr>
      </w:pPr>
      <w:r>
        <w:rPr>
          <w:sz w:val="20"/>
          <w:szCs w:val="20"/>
        </w:rPr>
        <w:t>5</w:t>
      </w:r>
      <w:r>
        <w:rPr>
          <w:sz w:val="20"/>
          <w:szCs w:val="20"/>
        </w:rPr>
        <w:t>9</w:t>
      </w:r>
    </w:p>
    <w:p w:rsidR="00000000" w:rsidRDefault="006D723D">
      <w:pPr>
        <w:rPr>
          <w:rFonts w:eastAsia="Times New Roman"/>
        </w:rPr>
      </w:pPr>
      <w:r>
        <w:rPr>
          <w:rFonts w:eastAsia="Times New Roman"/>
        </w:rPr>
        <w:pict>
          <v:rect id="_x0000_i1083"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360" w:beforeAutospacing="0" w:after="0" w:afterAutospacing="0"/>
        <w:jc w:val="both"/>
        <w:rPr>
          <w:sz w:val="20"/>
          <w:szCs w:val="20"/>
        </w:rPr>
      </w:pPr>
      <w:r>
        <w:rPr>
          <w:b/>
          <w:bCs/>
          <w:i/>
          <w:iCs/>
          <w:sz w:val="20"/>
          <w:szCs w:val="20"/>
        </w:rPr>
        <w:t>Even if we remained qualified as a REIT for those years we elected REIT status, we may owe taxes under certain circumstances</w:t>
      </w:r>
      <w:r>
        <w:rPr>
          <w:b/>
          <w:bCs/>
          <w:i/>
          <w:iCs/>
          <w:sz w:val="20"/>
          <w:szCs w:val="20"/>
        </w:rPr>
        <w:t>.</w:t>
      </w:r>
      <w:r>
        <w:rPr>
          <w:sz w:val="20"/>
          <w:szCs w:val="20"/>
        </w:rPr>
        <w:t xml:space="preserve"> </w:t>
      </w:r>
    </w:p>
    <w:p w:rsidR="00000000" w:rsidRDefault="006D723D">
      <w:pPr>
        <w:pStyle w:val="a3"/>
        <w:spacing w:before="120" w:beforeAutospacing="0" w:after="0" w:afterAutospacing="0"/>
        <w:jc w:val="both"/>
        <w:rPr>
          <w:sz w:val="20"/>
          <w:szCs w:val="20"/>
        </w:rPr>
      </w:pPr>
      <w:r>
        <w:rPr>
          <w:sz w:val="20"/>
          <w:szCs w:val="20"/>
        </w:rPr>
        <w:t>Even if we qualify as a REIT for those year</w:t>
      </w:r>
      <w:r>
        <w:rPr>
          <w:sz w:val="20"/>
          <w:szCs w:val="20"/>
        </w:rPr>
        <w:t>s we elected REIT status, we will be subject to certain U.S. federal, state and local taxes on our income and property, including on taxable income that we did not distribute to our stockholders, and on net income from certain "prohibited transactions". In</w:t>
      </w:r>
      <w:r>
        <w:rPr>
          <w:sz w:val="20"/>
          <w:szCs w:val="20"/>
        </w:rPr>
        <w:t xml:space="preserve"> addition, the REIT provisions of the Code are complex and are not always subject to clear interpretation. For example, a REIT must derive at least 95% of its gross income in any year from qualifying sources, including rents from real property. Rents from </w:t>
      </w:r>
      <w:r>
        <w:rPr>
          <w:sz w:val="20"/>
          <w:szCs w:val="20"/>
        </w:rPr>
        <w:t>real property include amounts received for the use of limited amounts of personal property and for certain services. Whether amounts constitute rents from real property or other qualifying income may not be entirely clear in all cases. We may fail to quali</w:t>
      </w:r>
      <w:r>
        <w:rPr>
          <w:sz w:val="20"/>
          <w:szCs w:val="20"/>
        </w:rPr>
        <w:t>fy as a REIT for those years we elected REIT status if we exceed the permissible amounts of non-qualifying income unless such failures qualify for relief under certain statutory relief provisions. Even if we qualify for statutory relief, we may be required</w:t>
      </w:r>
      <w:r>
        <w:rPr>
          <w:sz w:val="20"/>
          <w:szCs w:val="20"/>
        </w:rPr>
        <w:t xml:space="preserve"> to pay an excise or penalty tax (which could be significant in amount) in order to utilize one or more such relief provisions under the Code to maintain our qualification as a REIT for those years we elected REIT status. Furthermore, we conducted substant</w:t>
      </w:r>
      <w:r>
        <w:rPr>
          <w:sz w:val="20"/>
          <w:szCs w:val="20"/>
        </w:rPr>
        <w:t>ial activities through TRSs, and the income of those subsidiaries is subject to U.S. federal income tax at regular corporate rates</w:t>
      </w:r>
      <w:r>
        <w:rPr>
          <w:sz w:val="20"/>
          <w:szCs w:val="20"/>
        </w:rPr>
        <w:t>.</w:t>
      </w:r>
      <w:r>
        <w:rPr>
          <w:sz w:val="20"/>
          <w:szCs w:val="20"/>
        </w:rPr>
        <w:t xml:space="preserve"> </w:t>
      </w:r>
    </w:p>
    <w:p w:rsidR="00000000" w:rsidRDefault="006D723D">
      <w:pPr>
        <w:pStyle w:val="a3"/>
        <w:spacing w:before="360" w:beforeAutospacing="0" w:after="0" w:afterAutospacing="0"/>
        <w:jc w:val="both"/>
        <w:rPr>
          <w:sz w:val="20"/>
          <w:szCs w:val="20"/>
        </w:rPr>
      </w:pPr>
      <w:r>
        <w:rPr>
          <w:i/>
          <w:iCs/>
          <w:sz w:val="20"/>
          <w:szCs w:val="20"/>
        </w:rPr>
        <w:t>Performing services through our TRSs during those years we elected REIT status may increase our overall tax liability or su</w:t>
      </w:r>
      <w:r>
        <w:rPr>
          <w:i/>
          <w:iCs/>
          <w:sz w:val="20"/>
          <w:szCs w:val="20"/>
        </w:rPr>
        <w:t>bject us to certain excise taxes</w:t>
      </w:r>
      <w:r>
        <w:rPr>
          <w:i/>
          <w:iCs/>
          <w:sz w:val="20"/>
          <w:szCs w:val="20"/>
        </w:rPr>
        <w:t>.</w:t>
      </w:r>
      <w:r>
        <w:rPr>
          <w:b/>
          <w:bCs/>
          <w:i/>
          <w:iCs/>
          <w:sz w:val="20"/>
          <w:szCs w:val="20"/>
        </w:rPr>
        <w:t xml:space="preserve"> </w:t>
      </w:r>
      <w:r>
        <w:rPr>
          <w:sz w:val="20"/>
          <w:szCs w:val="20"/>
        </w:rPr>
        <w:t>During those years we elected REIT status, we conducted significant business activities through our TRSs. A TRS may hold assets and earn income, including income earned from the performance of correctional services, that w</w:t>
      </w:r>
      <w:r>
        <w:rPr>
          <w:sz w:val="20"/>
          <w:szCs w:val="20"/>
        </w:rPr>
        <w:t>ould not be qualifying assets or income if held or earned directly by a REIT. During those years we elected REIT status, we conducted a significant portion of our business activities through our TRSs. The TRS rules impose a 100% excise tax on certain trans</w:t>
      </w:r>
      <w:r>
        <w:rPr>
          <w:sz w:val="20"/>
          <w:szCs w:val="20"/>
        </w:rPr>
        <w:t>actions between a TRS and its parent REIT that are not conducted on an arm's-length basis. We believe our arrangements with our TRSs were on arm's-length terms. If it is determined that our arrangements with our TRSs were not on an arm's-length terms, we w</w:t>
      </w:r>
      <w:r>
        <w:rPr>
          <w:sz w:val="20"/>
          <w:szCs w:val="20"/>
        </w:rPr>
        <w:t>ould be subject to the 100% excise tax</w:t>
      </w:r>
      <w:r>
        <w:rPr>
          <w:sz w:val="20"/>
          <w:szCs w:val="20"/>
        </w:rPr>
        <w:t>.</w:t>
      </w:r>
    </w:p>
    <w:p w:rsidR="00000000" w:rsidRDefault="006D723D">
      <w:pPr>
        <w:pStyle w:val="a3"/>
        <w:spacing w:before="360" w:beforeAutospacing="0" w:after="0" w:afterAutospacing="0"/>
        <w:jc w:val="both"/>
        <w:rPr>
          <w:sz w:val="20"/>
          <w:szCs w:val="20"/>
        </w:rPr>
      </w:pPr>
      <w:r>
        <w:rPr>
          <w:i/>
          <w:iCs/>
          <w:sz w:val="20"/>
          <w:szCs w:val="20"/>
        </w:rPr>
        <w:t>The value of the securities we owned in our TRSs during those years we elected REIT status was limited under the REIT asset tests</w:t>
      </w:r>
      <w:r>
        <w:rPr>
          <w:i/>
          <w:iCs/>
          <w:sz w:val="20"/>
          <w:szCs w:val="20"/>
        </w:rPr>
        <w:t>.</w:t>
      </w:r>
      <w:r>
        <w:rPr>
          <w:b/>
          <w:bCs/>
          <w:i/>
          <w:iCs/>
          <w:sz w:val="20"/>
          <w:szCs w:val="20"/>
        </w:rPr>
        <w:t xml:space="preserve"> </w:t>
      </w:r>
      <w:r>
        <w:rPr>
          <w:sz w:val="20"/>
          <w:szCs w:val="20"/>
        </w:rPr>
        <w:t>Under the Code, we would fail to qualify as a REIT if more than 20% of the value of o</w:t>
      </w:r>
      <w:r>
        <w:rPr>
          <w:sz w:val="20"/>
          <w:szCs w:val="20"/>
        </w:rPr>
        <w:t>ur gross assets were represented by securities of one or more TRSs. While we monitored the value of the securities of our TRSs, there can be no assurance that we were able to comply with this limitation. If it is determined that we were unable to comply wi</w:t>
      </w:r>
      <w:r>
        <w:rPr>
          <w:sz w:val="20"/>
          <w:szCs w:val="20"/>
        </w:rPr>
        <w:t>th this limitation, we would fail to qualify as a REIT for those years we elected REIT status beginning in the year in which we did not comply with this limitation</w:t>
      </w:r>
      <w:r>
        <w:rPr>
          <w:sz w:val="20"/>
          <w:szCs w:val="20"/>
        </w:rPr>
        <w:t>.</w:t>
      </w:r>
      <w:r>
        <w:rPr>
          <w:sz w:val="20"/>
          <w:szCs w:val="20"/>
        </w:rPr>
        <w:t xml:space="preserve"> </w:t>
      </w:r>
    </w:p>
    <w:p w:rsidR="00000000" w:rsidRDefault="006D723D">
      <w:pPr>
        <w:pStyle w:val="a3"/>
        <w:spacing w:before="360" w:beforeAutospacing="0" w:after="0" w:afterAutospacing="0"/>
        <w:jc w:val="both"/>
        <w:rPr>
          <w:sz w:val="20"/>
          <w:szCs w:val="20"/>
        </w:rPr>
      </w:pPr>
      <w:r>
        <w:rPr>
          <w:i/>
          <w:iCs/>
          <w:sz w:val="20"/>
          <w:szCs w:val="20"/>
        </w:rPr>
        <w:t>The tax imposed on REITs engaging in "prohibited transactions" limited our ability to enga</w:t>
      </w:r>
      <w:r>
        <w:rPr>
          <w:i/>
          <w:iCs/>
          <w:sz w:val="20"/>
          <w:szCs w:val="20"/>
        </w:rPr>
        <w:t>ge in transactions during those years we elected REIT status which would be treated as sales for federal income tax purposes</w:t>
      </w:r>
      <w:r>
        <w:rPr>
          <w:i/>
          <w:iCs/>
          <w:sz w:val="20"/>
          <w:szCs w:val="20"/>
        </w:rPr>
        <w:t>.</w:t>
      </w:r>
      <w:r>
        <w:rPr>
          <w:b/>
          <w:bCs/>
          <w:i/>
          <w:iCs/>
          <w:sz w:val="20"/>
          <w:szCs w:val="20"/>
        </w:rPr>
        <w:t xml:space="preserve"> </w:t>
      </w:r>
      <w:r>
        <w:rPr>
          <w:sz w:val="20"/>
          <w:szCs w:val="20"/>
        </w:rPr>
        <w:t>A REIT's net income from prohibited transactions is subject to a 100% penalty tax. In general, prohibited transactions are sales o</w:t>
      </w:r>
      <w:r>
        <w:rPr>
          <w:sz w:val="20"/>
          <w:szCs w:val="20"/>
        </w:rPr>
        <w:t xml:space="preserve">r other dispositions of property, other than foreclosure property, held primarily for sale to customers in the ordinary course of business. Although we do not believe that we held any properties that would be characterized as held for sale to customers in </w:t>
      </w:r>
      <w:r>
        <w:rPr>
          <w:sz w:val="20"/>
          <w:szCs w:val="20"/>
        </w:rPr>
        <w:t>the ordinary course of our business during those years we elected REIT status, we would be subject to such 100% excise tax if the Internal Revenue Service, or IRS, were to successfully challenge our characterization of our properties or the availability of</w:t>
      </w:r>
      <w:r>
        <w:rPr>
          <w:sz w:val="20"/>
          <w:szCs w:val="20"/>
        </w:rPr>
        <w:t xml:space="preserve"> certain safe harbors</w:t>
      </w:r>
      <w:r>
        <w:rPr>
          <w:sz w:val="20"/>
          <w:szCs w:val="20"/>
        </w:rPr>
        <w:t>.</w:t>
      </w:r>
    </w:p>
    <w:p w:rsidR="00000000" w:rsidRDefault="006D723D">
      <w:pPr>
        <w:pStyle w:val="a3"/>
        <w:spacing w:before="360" w:beforeAutospacing="0" w:after="0" w:afterAutospacing="0"/>
        <w:jc w:val="both"/>
        <w:rPr>
          <w:sz w:val="20"/>
          <w:szCs w:val="20"/>
        </w:rPr>
      </w:pPr>
      <w:r>
        <w:rPr>
          <w:b/>
          <w:bCs/>
          <w:sz w:val="20"/>
          <w:szCs w:val="20"/>
        </w:rPr>
        <w:t>General Risk Factor</w:t>
      </w:r>
      <w:r>
        <w:rPr>
          <w:b/>
          <w:bCs/>
          <w:sz w:val="20"/>
          <w:szCs w:val="20"/>
        </w:rPr>
        <w:t>s</w:t>
      </w:r>
    </w:p>
    <w:p w:rsidR="00000000" w:rsidRDefault="006D723D">
      <w:pPr>
        <w:pStyle w:val="a3"/>
        <w:spacing w:before="120" w:beforeAutospacing="0" w:after="0" w:afterAutospacing="0"/>
        <w:jc w:val="both"/>
        <w:rPr>
          <w:sz w:val="20"/>
          <w:szCs w:val="20"/>
        </w:rPr>
      </w:pPr>
      <w:r>
        <w:rPr>
          <w:b/>
          <w:bCs/>
          <w:i/>
          <w:iCs/>
          <w:sz w:val="20"/>
          <w:szCs w:val="20"/>
        </w:rPr>
        <w:t>The market price of our equity securities may vary substantially, which may limit our stockholders' ability to liquidate their investment</w:t>
      </w:r>
      <w:r>
        <w:rPr>
          <w:b/>
          <w:bCs/>
          <w:i/>
          <w:iCs/>
          <w:sz w:val="20"/>
          <w:szCs w:val="20"/>
        </w:rPr>
        <w:t>.</w:t>
      </w:r>
    </w:p>
    <w:p w:rsidR="00000000" w:rsidRDefault="006D723D">
      <w:pPr>
        <w:pStyle w:val="a3"/>
        <w:spacing w:before="240" w:beforeAutospacing="0" w:after="0" w:afterAutospacing="0"/>
        <w:jc w:val="both"/>
        <w:rPr>
          <w:sz w:val="20"/>
          <w:szCs w:val="20"/>
        </w:rPr>
      </w:pPr>
      <w:r>
        <w:rPr>
          <w:sz w:val="20"/>
          <w:szCs w:val="20"/>
        </w:rPr>
        <w:t>Factors that could affect the market price of our equity securities inclu</w:t>
      </w:r>
      <w:r>
        <w:rPr>
          <w:sz w:val="20"/>
          <w:szCs w:val="20"/>
        </w:rPr>
        <w:t>de, but are not limited to, the following</w:t>
      </w:r>
      <w:r>
        <w:rPr>
          <w:sz w:val="20"/>
          <w:szCs w:val="20"/>
        </w:rPr>
        <w:t>:</w:t>
      </w:r>
    </w:p>
    <w:p w:rsidR="00000000" w:rsidRDefault="006D723D">
      <w:pPr>
        <w:jc w:val="both"/>
        <w:divId w:val="1127092342"/>
        <w:rPr>
          <w:rFonts w:eastAsia="Times New Roman"/>
        </w:rPr>
      </w:pPr>
      <w:r>
        <w:rPr>
          <w:rFonts w:eastAsia="Times New Roman"/>
          <w:sz w:val="20"/>
          <w:szCs w:val="20"/>
        </w:rPr>
        <w:t>•</w:t>
      </w:r>
    </w:p>
    <w:p w:rsidR="00000000" w:rsidRDefault="006D723D">
      <w:pPr>
        <w:jc w:val="both"/>
        <w:divId w:val="511913675"/>
        <w:rPr>
          <w:rFonts w:eastAsia="Times New Roman"/>
        </w:rPr>
      </w:pPr>
      <w:r>
        <w:rPr>
          <w:rFonts w:eastAsia="Times New Roman"/>
          <w:sz w:val="20"/>
          <w:szCs w:val="20"/>
        </w:rPr>
        <w:t>actual or anticipated variations in our quarterly results of operations</w:t>
      </w:r>
      <w:r>
        <w:rPr>
          <w:rFonts w:eastAsia="Times New Roman"/>
          <w:sz w:val="20"/>
          <w:szCs w:val="20"/>
        </w:rPr>
        <w:t>;</w:t>
      </w:r>
    </w:p>
    <w:p w:rsidR="00000000" w:rsidRDefault="006D723D">
      <w:pPr>
        <w:jc w:val="both"/>
        <w:divId w:val="1305308106"/>
        <w:rPr>
          <w:rFonts w:eastAsia="Times New Roman"/>
        </w:rPr>
      </w:pPr>
      <w:r>
        <w:rPr>
          <w:rFonts w:eastAsia="Times New Roman"/>
          <w:sz w:val="20"/>
          <w:szCs w:val="20"/>
        </w:rPr>
        <w:t>•</w:t>
      </w:r>
    </w:p>
    <w:p w:rsidR="00000000" w:rsidRDefault="006D723D">
      <w:pPr>
        <w:jc w:val="both"/>
        <w:divId w:val="509150931"/>
        <w:rPr>
          <w:rFonts w:eastAsia="Times New Roman"/>
        </w:rPr>
      </w:pPr>
      <w:r>
        <w:rPr>
          <w:rFonts w:eastAsia="Times New Roman"/>
          <w:sz w:val="20"/>
          <w:szCs w:val="20"/>
        </w:rPr>
        <w:t xml:space="preserve">changes in market </w:t>
      </w:r>
      <w:r>
        <w:rPr>
          <w:rFonts w:eastAsia="Times New Roman"/>
          <w:sz w:val="20"/>
          <w:szCs w:val="20"/>
        </w:rPr>
        <w:t>valuations of companies in the corrections, detention, or residential reentry industries</w:t>
      </w:r>
      <w:r>
        <w:rPr>
          <w:rFonts w:eastAsia="Times New Roman"/>
          <w:sz w:val="20"/>
          <w:szCs w:val="20"/>
        </w:rPr>
        <w:t>;</w:t>
      </w:r>
    </w:p>
    <w:p w:rsidR="00000000" w:rsidRDefault="006D723D">
      <w:pPr>
        <w:jc w:val="both"/>
        <w:divId w:val="1940021629"/>
        <w:rPr>
          <w:rFonts w:eastAsia="Times New Roman"/>
        </w:rPr>
      </w:pPr>
      <w:r>
        <w:rPr>
          <w:rFonts w:eastAsia="Times New Roman"/>
          <w:sz w:val="20"/>
          <w:szCs w:val="20"/>
        </w:rPr>
        <w:t>•</w:t>
      </w:r>
    </w:p>
    <w:p w:rsidR="00000000" w:rsidRDefault="006D723D">
      <w:pPr>
        <w:jc w:val="both"/>
        <w:divId w:val="1164668308"/>
        <w:rPr>
          <w:rFonts w:eastAsia="Times New Roman"/>
        </w:rPr>
      </w:pPr>
      <w:r>
        <w:rPr>
          <w:rFonts w:eastAsia="Times New Roman"/>
          <w:sz w:val="20"/>
          <w:szCs w:val="20"/>
        </w:rPr>
        <w:t>changes in expectations of future financial performance or changes in estimates of securities analysts</w:t>
      </w:r>
      <w:r>
        <w:rPr>
          <w:rFonts w:eastAsia="Times New Roman"/>
          <w:sz w:val="20"/>
          <w:szCs w:val="20"/>
        </w:rPr>
        <w:t>;</w:t>
      </w:r>
    </w:p>
    <w:p w:rsidR="00000000" w:rsidRDefault="006D723D">
      <w:pPr>
        <w:pStyle w:val="a3"/>
        <w:spacing w:before="240" w:beforeAutospacing="0" w:after="0" w:afterAutospacing="0"/>
        <w:jc w:val="center"/>
        <w:rPr>
          <w:sz w:val="20"/>
          <w:szCs w:val="20"/>
        </w:rPr>
      </w:pPr>
      <w:r>
        <w:rPr>
          <w:sz w:val="20"/>
          <w:szCs w:val="20"/>
        </w:rPr>
        <w:t>6</w:t>
      </w:r>
      <w:r>
        <w:rPr>
          <w:sz w:val="20"/>
          <w:szCs w:val="20"/>
        </w:rPr>
        <w:t>0</w:t>
      </w:r>
    </w:p>
    <w:p w:rsidR="00000000" w:rsidRDefault="006D723D">
      <w:pPr>
        <w:rPr>
          <w:rFonts w:eastAsia="Times New Roman"/>
        </w:rPr>
      </w:pPr>
      <w:r>
        <w:rPr>
          <w:rFonts w:eastAsia="Times New Roman"/>
        </w:rPr>
        <w:pict>
          <v:rect id="_x0000_i1084"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jc w:val="both"/>
        <w:divId w:val="1873299950"/>
        <w:rPr>
          <w:rFonts w:eastAsia="Times New Roman"/>
        </w:rPr>
      </w:pPr>
      <w:r>
        <w:rPr>
          <w:rFonts w:eastAsia="Times New Roman"/>
          <w:sz w:val="20"/>
          <w:szCs w:val="20"/>
        </w:rPr>
        <w:t>•</w:t>
      </w:r>
    </w:p>
    <w:p w:rsidR="00000000" w:rsidRDefault="006D723D">
      <w:pPr>
        <w:jc w:val="both"/>
        <w:divId w:val="280116454"/>
        <w:rPr>
          <w:rFonts w:eastAsia="Times New Roman"/>
        </w:rPr>
      </w:pPr>
      <w:r>
        <w:rPr>
          <w:rFonts w:eastAsia="Times New Roman"/>
          <w:sz w:val="20"/>
          <w:szCs w:val="20"/>
        </w:rPr>
        <w:t>changes in gover</w:t>
      </w:r>
      <w:r>
        <w:rPr>
          <w:rFonts w:eastAsia="Times New Roman"/>
          <w:sz w:val="20"/>
          <w:szCs w:val="20"/>
        </w:rPr>
        <w:t>nment policy, legislation and regulations that affect utilization of the private sector for corrections, detention, and residential reentry services</w:t>
      </w:r>
      <w:r>
        <w:rPr>
          <w:rFonts w:eastAsia="Times New Roman"/>
          <w:sz w:val="20"/>
          <w:szCs w:val="20"/>
        </w:rPr>
        <w:t>;</w:t>
      </w:r>
    </w:p>
    <w:p w:rsidR="00000000" w:rsidRDefault="006D723D">
      <w:pPr>
        <w:jc w:val="both"/>
        <w:divId w:val="747653921"/>
        <w:rPr>
          <w:rFonts w:eastAsia="Times New Roman"/>
        </w:rPr>
      </w:pPr>
      <w:r>
        <w:rPr>
          <w:rFonts w:eastAsia="Times New Roman"/>
          <w:sz w:val="20"/>
          <w:szCs w:val="20"/>
        </w:rPr>
        <w:t>•</w:t>
      </w:r>
    </w:p>
    <w:p w:rsidR="00000000" w:rsidRDefault="006D723D">
      <w:pPr>
        <w:jc w:val="both"/>
        <w:divId w:val="1112091592"/>
        <w:rPr>
          <w:rFonts w:eastAsia="Times New Roman"/>
        </w:rPr>
      </w:pPr>
      <w:r>
        <w:rPr>
          <w:rFonts w:eastAsia="Times New Roman"/>
          <w:sz w:val="20"/>
          <w:szCs w:val="20"/>
        </w:rPr>
        <w:t>fluctuations in stock market prices and volumes</w:t>
      </w:r>
      <w:r>
        <w:rPr>
          <w:rFonts w:eastAsia="Times New Roman"/>
          <w:sz w:val="20"/>
          <w:szCs w:val="20"/>
        </w:rPr>
        <w:t>;</w:t>
      </w:r>
    </w:p>
    <w:p w:rsidR="00000000" w:rsidRDefault="006D723D">
      <w:pPr>
        <w:jc w:val="both"/>
        <w:divId w:val="918949160"/>
        <w:rPr>
          <w:rFonts w:eastAsia="Times New Roman"/>
        </w:rPr>
      </w:pPr>
      <w:r>
        <w:rPr>
          <w:rFonts w:eastAsia="Times New Roman"/>
          <w:sz w:val="20"/>
          <w:szCs w:val="20"/>
        </w:rPr>
        <w:t>•</w:t>
      </w:r>
    </w:p>
    <w:p w:rsidR="00000000" w:rsidRDefault="006D723D">
      <w:pPr>
        <w:jc w:val="both"/>
        <w:divId w:val="1226992439"/>
        <w:rPr>
          <w:rFonts w:eastAsia="Times New Roman"/>
        </w:rPr>
      </w:pPr>
      <w:r>
        <w:rPr>
          <w:rFonts w:eastAsia="Times New Roman"/>
          <w:sz w:val="20"/>
          <w:szCs w:val="20"/>
        </w:rPr>
        <w:t xml:space="preserve">issuances and re-purchases of common shares or other </w:t>
      </w:r>
      <w:r>
        <w:rPr>
          <w:rFonts w:eastAsia="Times New Roman"/>
          <w:sz w:val="20"/>
          <w:szCs w:val="20"/>
        </w:rPr>
        <w:t>securities in the future; and</w:t>
      </w:r>
      <w:r>
        <w:rPr>
          <w:rFonts w:eastAsia="Times New Roman"/>
          <w:sz w:val="20"/>
          <w:szCs w:val="20"/>
        </w:rPr>
        <w:t xml:space="preserve"> </w:t>
      </w:r>
    </w:p>
    <w:p w:rsidR="00000000" w:rsidRDefault="006D723D">
      <w:pPr>
        <w:jc w:val="both"/>
        <w:divId w:val="2128353479"/>
        <w:rPr>
          <w:rFonts w:eastAsia="Times New Roman"/>
        </w:rPr>
      </w:pPr>
      <w:r>
        <w:rPr>
          <w:rFonts w:eastAsia="Times New Roman"/>
          <w:sz w:val="20"/>
          <w:szCs w:val="20"/>
        </w:rPr>
        <w:t>•</w:t>
      </w:r>
    </w:p>
    <w:p w:rsidR="00000000" w:rsidRDefault="006D723D">
      <w:pPr>
        <w:jc w:val="both"/>
        <w:divId w:val="1273586541"/>
        <w:rPr>
          <w:rFonts w:eastAsia="Times New Roman"/>
        </w:rPr>
      </w:pPr>
      <w:r>
        <w:rPr>
          <w:rFonts w:eastAsia="Times New Roman"/>
          <w:sz w:val="20"/>
          <w:szCs w:val="20"/>
        </w:rPr>
        <w:t>announcements by us or our competitors of acquisitions, investments or strategic actions</w:t>
      </w:r>
      <w:r>
        <w:rPr>
          <w:rFonts w:eastAsia="Times New Roman"/>
          <w:sz w:val="20"/>
          <w:szCs w:val="20"/>
        </w:rPr>
        <w:t>.</w:t>
      </w:r>
    </w:p>
    <w:p w:rsidR="00000000" w:rsidRDefault="006D723D">
      <w:pPr>
        <w:pStyle w:val="a3"/>
        <w:spacing w:before="360" w:beforeAutospacing="0" w:after="0" w:afterAutospacing="0"/>
        <w:jc w:val="both"/>
        <w:rPr>
          <w:sz w:val="20"/>
          <w:szCs w:val="20"/>
        </w:rPr>
      </w:pPr>
      <w:r>
        <w:rPr>
          <w:b/>
          <w:bCs/>
          <w:i/>
          <w:iCs/>
          <w:sz w:val="20"/>
          <w:szCs w:val="20"/>
        </w:rPr>
        <w:t>The number of shares of our common stock available for future sale could adversely affect the market price of our common stock</w:t>
      </w:r>
      <w:r>
        <w:rPr>
          <w:b/>
          <w:bCs/>
          <w:i/>
          <w:iCs/>
          <w:sz w:val="20"/>
          <w:szCs w:val="20"/>
        </w:rPr>
        <w:t>.</w:t>
      </w:r>
    </w:p>
    <w:p w:rsidR="00000000" w:rsidRDefault="006D723D">
      <w:pPr>
        <w:pStyle w:val="a3"/>
        <w:spacing w:before="120" w:beforeAutospacing="0" w:after="0" w:afterAutospacing="0"/>
        <w:jc w:val="both"/>
        <w:rPr>
          <w:sz w:val="20"/>
          <w:szCs w:val="20"/>
        </w:rPr>
      </w:pPr>
      <w:r>
        <w:rPr>
          <w:sz w:val="20"/>
          <w:szCs w:val="20"/>
        </w:rPr>
        <w:t>We ca</w:t>
      </w:r>
      <w:r>
        <w:rPr>
          <w:sz w:val="20"/>
          <w:szCs w:val="20"/>
        </w:rPr>
        <w:t>nnot predict the effect, if any, of future sales of common stock, or the availability of common stock for future sale, on the market price of our common stock. Sales of substantial amounts of common stock, including stock issued under equity compensation p</w:t>
      </w:r>
      <w:r>
        <w:rPr>
          <w:sz w:val="20"/>
          <w:szCs w:val="20"/>
        </w:rPr>
        <w:t>lans, or the perception that these sales could occur, may adversely affect prevailing market prices for our common stock</w:t>
      </w:r>
      <w:r>
        <w:rPr>
          <w:sz w:val="20"/>
          <w:szCs w:val="20"/>
        </w:rPr>
        <w:t>.</w:t>
      </w:r>
      <w:r>
        <w:rPr>
          <w:sz w:val="20"/>
          <w:szCs w:val="20"/>
        </w:rPr>
        <w:t xml:space="preserve"> </w:t>
      </w:r>
    </w:p>
    <w:p w:rsidR="00000000" w:rsidRDefault="006D723D">
      <w:pPr>
        <w:pStyle w:val="a3"/>
        <w:spacing w:before="360" w:beforeAutospacing="0" w:after="0" w:afterAutospacing="0"/>
        <w:jc w:val="both"/>
        <w:rPr>
          <w:sz w:val="20"/>
          <w:szCs w:val="20"/>
        </w:rPr>
      </w:pPr>
      <w:r>
        <w:rPr>
          <w:b/>
          <w:bCs/>
          <w:i/>
          <w:iCs/>
          <w:sz w:val="20"/>
          <w:szCs w:val="20"/>
        </w:rPr>
        <w:t xml:space="preserve">Future offerings of debt or equity securities ranking senior to our common stock or incurrence of debt (including under our New Bank </w:t>
      </w:r>
      <w:r>
        <w:rPr>
          <w:b/>
          <w:bCs/>
          <w:i/>
          <w:iCs/>
          <w:sz w:val="20"/>
          <w:szCs w:val="20"/>
        </w:rPr>
        <w:t>Credit Facility) may adversely affect the market price of our common stock</w:t>
      </w:r>
      <w:r>
        <w:rPr>
          <w:b/>
          <w:bCs/>
          <w:i/>
          <w:iCs/>
          <w:sz w:val="20"/>
          <w:szCs w:val="20"/>
        </w:rPr>
        <w:t>.</w:t>
      </w:r>
    </w:p>
    <w:p w:rsidR="00000000" w:rsidRDefault="006D723D">
      <w:pPr>
        <w:pStyle w:val="a3"/>
        <w:spacing w:before="120" w:beforeAutospacing="0" w:after="0" w:afterAutospacing="0"/>
        <w:jc w:val="both"/>
        <w:rPr>
          <w:sz w:val="20"/>
          <w:szCs w:val="20"/>
        </w:rPr>
      </w:pPr>
      <w:r>
        <w:rPr>
          <w:sz w:val="20"/>
          <w:szCs w:val="20"/>
        </w:rPr>
        <w:t xml:space="preserve">If we decide to issue debt or equity securities in the future ranking senior to our common stock or otherwise incur indebtedness (including under our New Bank Credit Facility), it </w:t>
      </w:r>
      <w:r>
        <w:rPr>
          <w:sz w:val="20"/>
          <w:szCs w:val="20"/>
        </w:rPr>
        <w:t xml:space="preserve">is possible that these securities or indebtedness will be governed by an indenture or other instrument containing covenants restricting our operating flexibility and limiting our ability to return capital to our stockholders. Additionally, any convertible </w:t>
      </w:r>
      <w:r>
        <w:rPr>
          <w:sz w:val="20"/>
          <w:szCs w:val="20"/>
        </w:rPr>
        <w:t>or exchangeable securities that we issue in the future may have rights, preferences and privileges, including with respect to distributions, more favorable than those of our common stock and may result in dilution to owners of our common stock. Because our</w:t>
      </w:r>
      <w:r>
        <w:rPr>
          <w:sz w:val="20"/>
          <w:szCs w:val="20"/>
        </w:rPr>
        <w:t xml:space="preserve"> decision to issue debt or equity securities in any future offering or otherwise incur indebtedness will depend on market conditions and other factors beyond our control, we cannot predict or estimate the amount, timing or nature of our future offerings or</w:t>
      </w:r>
      <w:r>
        <w:rPr>
          <w:sz w:val="20"/>
          <w:szCs w:val="20"/>
        </w:rPr>
        <w:t xml:space="preserve"> financings, any of which could reduce the market price of our common stock and dilute the value of our common stock</w:t>
      </w:r>
      <w:r>
        <w:rPr>
          <w:sz w:val="20"/>
          <w:szCs w:val="20"/>
        </w:rPr>
        <w:t>.</w:t>
      </w:r>
    </w:p>
    <w:p w:rsidR="00000000" w:rsidRDefault="006D723D">
      <w:pPr>
        <w:pStyle w:val="a3"/>
        <w:spacing w:before="360" w:beforeAutospacing="0" w:after="0" w:afterAutospacing="0"/>
        <w:jc w:val="both"/>
        <w:rPr>
          <w:sz w:val="20"/>
          <w:szCs w:val="20"/>
        </w:rPr>
      </w:pPr>
      <w:r>
        <w:rPr>
          <w:b/>
          <w:bCs/>
          <w:i/>
          <w:iCs/>
          <w:sz w:val="20"/>
          <w:szCs w:val="20"/>
        </w:rPr>
        <w:t>Our issuance of preferred stock could adversely affect holders of our common stock and discourage a takeover</w:t>
      </w:r>
      <w:r>
        <w:rPr>
          <w:b/>
          <w:bCs/>
          <w:i/>
          <w:iCs/>
          <w:sz w:val="20"/>
          <w:szCs w:val="20"/>
        </w:rPr>
        <w:t>.</w:t>
      </w:r>
      <w:r>
        <w:rPr>
          <w:b/>
          <w:bCs/>
          <w:i/>
          <w:iCs/>
          <w:sz w:val="20"/>
          <w:szCs w:val="20"/>
        </w:rPr>
        <w:t xml:space="preserve"> </w:t>
      </w:r>
    </w:p>
    <w:p w:rsidR="00000000" w:rsidRDefault="006D723D">
      <w:pPr>
        <w:pStyle w:val="a3"/>
        <w:spacing w:before="120" w:beforeAutospacing="0" w:after="0" w:afterAutospacing="0"/>
        <w:jc w:val="both"/>
        <w:rPr>
          <w:sz w:val="20"/>
          <w:szCs w:val="20"/>
        </w:rPr>
      </w:pPr>
      <w:r>
        <w:rPr>
          <w:sz w:val="20"/>
          <w:szCs w:val="20"/>
        </w:rPr>
        <w:t xml:space="preserve">Our Board of Directors has </w:t>
      </w:r>
      <w:r>
        <w:rPr>
          <w:sz w:val="20"/>
          <w:szCs w:val="20"/>
        </w:rPr>
        <w:t xml:space="preserve">the authority to issue up to 50.0 million shares of preferred stock without any action on the part of our stockholders. Our Board of Directors also has the authority, without stockholder approval, to set the terms of any new series of preferred stock that </w:t>
      </w:r>
      <w:r>
        <w:rPr>
          <w:sz w:val="20"/>
          <w:szCs w:val="20"/>
        </w:rPr>
        <w:t>may be issued, including voting rights, dividend rights, liquidation rights and other preferences superior to our common stock. In the event that we issue shares of preferred stock in the future that have preferences superior to our common stock, the right</w:t>
      </w:r>
      <w:r>
        <w:rPr>
          <w:sz w:val="20"/>
          <w:szCs w:val="20"/>
        </w:rPr>
        <w:t xml:space="preserve">s of the holders of our common stock or the market price of our common stock could be adversely affected. In addition, the ability of our Board of Directors to issue shares of preferred stock without any action on the part of our stockholders may impede a </w:t>
      </w:r>
      <w:r>
        <w:rPr>
          <w:sz w:val="20"/>
          <w:szCs w:val="20"/>
        </w:rPr>
        <w:t>takeover of us and discourage or prevent a transaction that may be favorable to our stockholders</w:t>
      </w:r>
      <w:r>
        <w:rPr>
          <w:sz w:val="20"/>
          <w:szCs w:val="20"/>
        </w:rPr>
        <w:t>.</w:t>
      </w:r>
      <w:r>
        <w:rPr>
          <w:sz w:val="20"/>
          <w:szCs w:val="20"/>
        </w:rPr>
        <w:t xml:space="preserve"> </w:t>
      </w:r>
    </w:p>
    <w:p w:rsidR="00000000" w:rsidRDefault="006D723D">
      <w:pPr>
        <w:pStyle w:val="a3"/>
        <w:spacing w:before="360" w:beforeAutospacing="0" w:after="0" w:afterAutospacing="0"/>
        <w:jc w:val="both"/>
        <w:rPr>
          <w:sz w:val="20"/>
          <w:szCs w:val="20"/>
        </w:rPr>
      </w:pPr>
      <w:r>
        <w:rPr>
          <w:b/>
          <w:bCs/>
          <w:i/>
          <w:iCs/>
          <w:sz w:val="20"/>
          <w:szCs w:val="20"/>
        </w:rPr>
        <w:t>Our charter and bylaws and Maryland law could make it difficult for a third party to acquire our company</w:t>
      </w:r>
      <w:r>
        <w:rPr>
          <w:b/>
          <w:bCs/>
          <w:i/>
          <w:iCs/>
          <w:sz w:val="20"/>
          <w:szCs w:val="20"/>
        </w:rPr>
        <w:t>.</w:t>
      </w:r>
      <w:r>
        <w:rPr>
          <w:b/>
          <w:bCs/>
          <w:i/>
          <w:iCs/>
          <w:sz w:val="20"/>
          <w:szCs w:val="20"/>
        </w:rPr>
        <w:t xml:space="preserve"> </w:t>
      </w:r>
    </w:p>
    <w:p w:rsidR="00000000" w:rsidRDefault="006D723D">
      <w:pPr>
        <w:pStyle w:val="a3"/>
        <w:spacing w:before="120" w:beforeAutospacing="0" w:after="0" w:afterAutospacing="0"/>
        <w:jc w:val="both"/>
        <w:rPr>
          <w:sz w:val="20"/>
          <w:szCs w:val="20"/>
        </w:rPr>
      </w:pPr>
      <w:r>
        <w:rPr>
          <w:sz w:val="20"/>
          <w:szCs w:val="20"/>
        </w:rPr>
        <w:t>The Maryland General Corporation Law and our chart</w:t>
      </w:r>
      <w:r>
        <w:rPr>
          <w:sz w:val="20"/>
          <w:szCs w:val="20"/>
        </w:rPr>
        <w:t>er and bylaws contain provisions that could delay, deter, or prevent a change in control of our company or our management. These provisions could also discourage proxy contests and make it more difficult for our stockholders to elect directors and take oth</w:t>
      </w:r>
      <w:r>
        <w:rPr>
          <w:sz w:val="20"/>
          <w:szCs w:val="20"/>
        </w:rPr>
        <w:t>er corporate actions. These provisions</w:t>
      </w:r>
      <w:r>
        <w:rPr>
          <w:sz w:val="20"/>
          <w:szCs w:val="20"/>
        </w:rPr>
        <w:t>:</w:t>
      </w:r>
      <w:r>
        <w:rPr>
          <w:sz w:val="20"/>
          <w:szCs w:val="20"/>
        </w:rPr>
        <w:t xml:space="preserve"> </w:t>
      </w:r>
    </w:p>
    <w:p w:rsidR="00000000" w:rsidRDefault="006D723D">
      <w:pPr>
        <w:jc w:val="both"/>
        <w:divId w:val="767702611"/>
        <w:rPr>
          <w:rFonts w:eastAsia="Times New Roman"/>
        </w:rPr>
      </w:pPr>
      <w:r>
        <w:rPr>
          <w:rFonts w:eastAsia="Times New Roman"/>
          <w:sz w:val="20"/>
          <w:szCs w:val="20"/>
        </w:rPr>
        <w:t>•</w:t>
      </w:r>
    </w:p>
    <w:p w:rsidR="00000000" w:rsidRDefault="006D723D">
      <w:pPr>
        <w:jc w:val="both"/>
        <w:divId w:val="628509746"/>
        <w:rPr>
          <w:rFonts w:eastAsia="Times New Roman"/>
        </w:rPr>
      </w:pPr>
      <w:r>
        <w:rPr>
          <w:rFonts w:eastAsia="Times New Roman"/>
          <w:sz w:val="20"/>
          <w:szCs w:val="20"/>
        </w:rPr>
        <w:t xml:space="preserve">authorize us to issue "blank check" </w:t>
      </w:r>
      <w:r>
        <w:rPr>
          <w:rFonts w:eastAsia="Times New Roman"/>
          <w:sz w:val="20"/>
          <w:szCs w:val="20"/>
        </w:rPr>
        <w:t>preferred stock, which is preferred stock that can be created and issued by our Board of Directors, without stockholder approval, with rights senior to those of common stock;</w:t>
      </w:r>
      <w:r>
        <w:rPr>
          <w:rFonts w:eastAsia="Times New Roman"/>
          <w:sz w:val="20"/>
          <w:szCs w:val="20"/>
        </w:rPr>
        <w:t xml:space="preserve"> </w:t>
      </w:r>
    </w:p>
    <w:p w:rsidR="00000000" w:rsidRDefault="006D723D">
      <w:pPr>
        <w:jc w:val="both"/>
        <w:divId w:val="1665669240"/>
        <w:rPr>
          <w:rFonts w:eastAsia="Times New Roman"/>
        </w:rPr>
      </w:pPr>
      <w:r>
        <w:rPr>
          <w:rFonts w:eastAsia="Times New Roman"/>
          <w:sz w:val="20"/>
          <w:szCs w:val="20"/>
        </w:rPr>
        <w:t>•</w:t>
      </w:r>
    </w:p>
    <w:p w:rsidR="00000000" w:rsidRDefault="006D723D">
      <w:pPr>
        <w:jc w:val="both"/>
        <w:divId w:val="618876052"/>
        <w:rPr>
          <w:rFonts w:eastAsia="Times New Roman"/>
        </w:rPr>
      </w:pPr>
      <w:r>
        <w:rPr>
          <w:rFonts w:eastAsia="Times New Roman"/>
          <w:sz w:val="20"/>
          <w:szCs w:val="20"/>
        </w:rPr>
        <w:t>provide that directors may be removed with or without cause only by the affirm</w:t>
      </w:r>
      <w:r>
        <w:rPr>
          <w:rFonts w:eastAsia="Times New Roman"/>
          <w:sz w:val="20"/>
          <w:szCs w:val="20"/>
        </w:rPr>
        <w:t>ative vote of at least a majority of the votes of shares entitled to vote thereon; and</w:t>
      </w:r>
      <w:r>
        <w:rPr>
          <w:rFonts w:eastAsia="Times New Roman"/>
          <w:sz w:val="20"/>
          <w:szCs w:val="20"/>
        </w:rPr>
        <w:t xml:space="preserve"> </w:t>
      </w:r>
    </w:p>
    <w:p w:rsidR="00000000" w:rsidRDefault="006D723D">
      <w:pPr>
        <w:jc w:val="both"/>
        <w:divId w:val="1906064036"/>
        <w:rPr>
          <w:rFonts w:eastAsia="Times New Roman"/>
        </w:rPr>
      </w:pPr>
      <w:r>
        <w:rPr>
          <w:rFonts w:eastAsia="Times New Roman"/>
          <w:sz w:val="20"/>
          <w:szCs w:val="20"/>
        </w:rPr>
        <w:t>•</w:t>
      </w:r>
    </w:p>
    <w:p w:rsidR="00000000" w:rsidRDefault="006D723D">
      <w:pPr>
        <w:jc w:val="both"/>
        <w:divId w:val="816068575"/>
        <w:rPr>
          <w:rFonts w:eastAsia="Times New Roman"/>
        </w:rPr>
      </w:pPr>
      <w:r>
        <w:rPr>
          <w:rFonts w:eastAsia="Times New Roman"/>
          <w:sz w:val="20"/>
          <w:szCs w:val="20"/>
        </w:rPr>
        <w:t>establish advance notice requirements for submitting nominations for election to the Board of Directors and for proposing matters that can be acted upon by stockholders at a meeting.</w:t>
      </w:r>
      <w:r>
        <w:rPr>
          <w:rFonts w:eastAsia="Times New Roman"/>
          <w:sz w:val="20"/>
          <w:szCs w:val="20"/>
        </w:rPr>
        <w:t xml:space="preserve"> </w:t>
      </w:r>
    </w:p>
    <w:p w:rsidR="00000000" w:rsidRDefault="006D723D">
      <w:pPr>
        <w:pStyle w:val="a3"/>
        <w:spacing w:before="240" w:beforeAutospacing="0" w:after="0" w:afterAutospacing="0"/>
        <w:jc w:val="center"/>
        <w:rPr>
          <w:sz w:val="20"/>
          <w:szCs w:val="20"/>
        </w:rPr>
      </w:pPr>
      <w:r>
        <w:rPr>
          <w:sz w:val="20"/>
          <w:szCs w:val="20"/>
        </w:rPr>
        <w:t>6</w:t>
      </w:r>
      <w:r>
        <w:rPr>
          <w:sz w:val="20"/>
          <w:szCs w:val="20"/>
        </w:rPr>
        <w:t>1</w:t>
      </w:r>
    </w:p>
    <w:p w:rsidR="00000000" w:rsidRDefault="006D723D">
      <w:pPr>
        <w:rPr>
          <w:rFonts w:eastAsia="Times New Roman"/>
        </w:rPr>
      </w:pPr>
      <w:r>
        <w:rPr>
          <w:rFonts w:eastAsia="Times New Roman"/>
        </w:rPr>
        <w:pict>
          <v:rect id="_x0000_i1085"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We are also subject to anti-ta</w:t>
      </w:r>
      <w:r>
        <w:rPr>
          <w:sz w:val="20"/>
          <w:szCs w:val="20"/>
        </w:rPr>
        <w:t>keover provisions under Maryland law, which could delay or prevent a change of control. Together, these provisions of our charter and bylaws and Maryland law may discourage transactions that otherwise could provide for the payment of a premium over prevail</w:t>
      </w:r>
      <w:r>
        <w:rPr>
          <w:sz w:val="20"/>
          <w:szCs w:val="20"/>
        </w:rPr>
        <w:t>ing market prices for our common stock, and also could limit the price that investors are willing to pay in the future for shares of our common stock</w:t>
      </w:r>
      <w:r>
        <w:rPr>
          <w:sz w:val="20"/>
          <w:szCs w:val="20"/>
        </w:rPr>
        <w:t>.</w:t>
      </w:r>
    </w:p>
    <w:p w:rsidR="00000000" w:rsidRDefault="006D723D">
      <w:pPr>
        <w:pStyle w:val="a3"/>
        <w:spacing w:before="360" w:beforeAutospacing="0" w:after="0" w:afterAutospacing="0"/>
        <w:ind w:hanging="1234"/>
        <w:rPr>
          <w:sz w:val="20"/>
          <w:szCs w:val="20"/>
        </w:rPr>
      </w:pPr>
      <w:r>
        <w:rPr>
          <w:b/>
          <w:bCs/>
          <w:sz w:val="20"/>
          <w:szCs w:val="20"/>
        </w:rPr>
        <w:t>ITEM 1B. UNRESOLV</w:t>
      </w:r>
      <w:r>
        <w:rPr>
          <w:b/>
          <w:bCs/>
          <w:sz w:val="20"/>
          <w:szCs w:val="20"/>
        </w:rPr>
        <w:t>E</w:t>
      </w:r>
      <w:r>
        <w:rPr>
          <w:b/>
          <w:bCs/>
          <w:sz w:val="20"/>
          <w:szCs w:val="20"/>
        </w:rPr>
        <w:t>D STAFF COMMENTS</w:t>
      </w:r>
      <w:r>
        <w:rPr>
          <w:b/>
          <w:bCs/>
          <w:sz w:val="20"/>
          <w:szCs w:val="20"/>
        </w:rPr>
        <w:t>.</w:t>
      </w:r>
    </w:p>
    <w:p w:rsidR="00000000" w:rsidRDefault="006D723D">
      <w:pPr>
        <w:pStyle w:val="a3"/>
        <w:spacing w:before="120" w:beforeAutospacing="0" w:after="0" w:afterAutospacing="0"/>
        <w:jc w:val="both"/>
        <w:rPr>
          <w:sz w:val="20"/>
          <w:szCs w:val="20"/>
        </w:rPr>
      </w:pPr>
      <w:r>
        <w:rPr>
          <w:sz w:val="20"/>
          <w:szCs w:val="20"/>
        </w:rPr>
        <w:t>None</w:t>
      </w:r>
      <w:r>
        <w:rPr>
          <w:sz w:val="20"/>
          <w:szCs w:val="20"/>
        </w:rPr>
        <w:t>.</w:t>
      </w:r>
    </w:p>
    <w:p w:rsidR="00000000" w:rsidRDefault="006D723D">
      <w:pPr>
        <w:pStyle w:val="a3"/>
        <w:spacing w:before="360" w:beforeAutospacing="0" w:after="0" w:afterAutospacing="0"/>
        <w:ind w:hanging="1220"/>
        <w:jc w:val="both"/>
        <w:rPr>
          <w:sz w:val="20"/>
          <w:szCs w:val="20"/>
        </w:rPr>
      </w:pPr>
      <w:r>
        <w:rPr>
          <w:b/>
          <w:bCs/>
          <w:sz w:val="20"/>
          <w:szCs w:val="20"/>
        </w:rPr>
        <w:t>ITEM 2. P</w:t>
      </w:r>
      <w:r>
        <w:rPr>
          <w:b/>
          <w:bCs/>
          <w:sz w:val="20"/>
          <w:szCs w:val="20"/>
        </w:rPr>
        <w:t>R</w:t>
      </w:r>
      <w:r>
        <w:rPr>
          <w:b/>
          <w:bCs/>
          <w:sz w:val="20"/>
          <w:szCs w:val="20"/>
        </w:rPr>
        <w:t>OPERTIES</w:t>
      </w:r>
      <w:r>
        <w:rPr>
          <w:b/>
          <w:bCs/>
          <w:sz w:val="20"/>
          <w:szCs w:val="20"/>
        </w:rPr>
        <w:t>.</w:t>
      </w:r>
    </w:p>
    <w:p w:rsidR="00000000" w:rsidRDefault="006D723D">
      <w:pPr>
        <w:pStyle w:val="a3"/>
        <w:spacing w:before="120" w:beforeAutospacing="0" w:after="0" w:afterAutospacing="0"/>
        <w:jc w:val="both"/>
        <w:rPr>
          <w:sz w:val="20"/>
          <w:szCs w:val="20"/>
        </w:rPr>
      </w:pPr>
      <w:r>
        <w:rPr>
          <w:sz w:val="20"/>
          <w:szCs w:val="20"/>
        </w:rPr>
        <w:t>The properties we owned at December 31, 202</w:t>
      </w:r>
      <w:r>
        <w:rPr>
          <w:sz w:val="20"/>
          <w:szCs w:val="20"/>
        </w:rPr>
        <w:t>2 are described under Item 1 and in Note 4 of the Notes to the Consolidated Financial Statements contained in this Annual Report, as well as in Schedule III in Part IV of this Annual Report</w:t>
      </w:r>
      <w:r>
        <w:rPr>
          <w:sz w:val="20"/>
          <w:szCs w:val="20"/>
        </w:rPr>
        <w:t>.</w:t>
      </w:r>
    </w:p>
    <w:p w:rsidR="00000000" w:rsidRDefault="006D723D">
      <w:pPr>
        <w:pStyle w:val="a3"/>
        <w:spacing w:before="360" w:beforeAutospacing="0" w:after="0" w:afterAutospacing="0"/>
        <w:ind w:hanging="1234"/>
        <w:rPr>
          <w:sz w:val="20"/>
          <w:szCs w:val="20"/>
        </w:rPr>
      </w:pPr>
      <w:r>
        <w:rPr>
          <w:b/>
          <w:bCs/>
          <w:sz w:val="20"/>
          <w:szCs w:val="20"/>
        </w:rPr>
        <w:t>ITEM 3. LEGAL</w:t>
      </w:r>
      <w:r>
        <w:rPr>
          <w:b/>
          <w:bCs/>
          <w:sz w:val="20"/>
          <w:szCs w:val="20"/>
        </w:rPr>
        <w:t xml:space="preserve"> </w:t>
      </w:r>
      <w:r>
        <w:rPr>
          <w:b/>
          <w:bCs/>
          <w:sz w:val="20"/>
          <w:szCs w:val="20"/>
        </w:rPr>
        <w:t>PROCEEDINGS</w:t>
      </w:r>
      <w:r>
        <w:rPr>
          <w:b/>
          <w:bCs/>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The information required under this i</w:t>
      </w:r>
      <w:r>
        <w:rPr>
          <w:sz w:val="20"/>
          <w:szCs w:val="20"/>
        </w:rPr>
        <w:t>tem can be found in</w:t>
      </w:r>
      <w:r>
        <w:rPr>
          <w:sz w:val="20"/>
          <w:szCs w:val="20"/>
        </w:rPr>
        <w:t xml:space="preserve"> </w:t>
      </w:r>
      <w:hyperlink w:anchor="note_16" w:history="1">
        <w:r>
          <w:rPr>
            <w:rStyle w:val="a4"/>
            <w:sz w:val="20"/>
            <w:szCs w:val="20"/>
          </w:rPr>
          <w:t>Note 1</w:t>
        </w:r>
        <w:r>
          <w:rPr>
            <w:rStyle w:val="a4"/>
            <w:sz w:val="20"/>
            <w:szCs w:val="20"/>
          </w:rPr>
          <w:t>5</w:t>
        </w:r>
      </w:hyperlink>
      <w:r>
        <w:rPr>
          <w:sz w:val="20"/>
          <w:szCs w:val="20"/>
        </w:rPr>
        <w:t xml:space="preserve"> of the Notes to the Consolidated Financial Statements contained in this Annual Report and is incorporated by reference in this Part I, Item 3</w:t>
      </w:r>
      <w:r>
        <w:rPr>
          <w:sz w:val="20"/>
          <w:szCs w:val="20"/>
        </w:rPr>
        <w:t>.</w:t>
      </w:r>
    </w:p>
    <w:p w:rsidR="00000000" w:rsidRDefault="006D723D">
      <w:pPr>
        <w:pStyle w:val="a3"/>
        <w:spacing w:before="360" w:beforeAutospacing="0" w:after="0" w:afterAutospacing="0"/>
        <w:ind w:hanging="1220"/>
        <w:jc w:val="both"/>
        <w:rPr>
          <w:sz w:val="20"/>
          <w:szCs w:val="20"/>
        </w:rPr>
      </w:pPr>
      <w:r>
        <w:rPr>
          <w:b/>
          <w:bCs/>
          <w:sz w:val="20"/>
          <w:szCs w:val="20"/>
        </w:rPr>
        <w:t>ITEM 4. MINE SA</w:t>
      </w:r>
      <w:r>
        <w:rPr>
          <w:b/>
          <w:bCs/>
          <w:sz w:val="20"/>
          <w:szCs w:val="20"/>
        </w:rPr>
        <w:t>F</w:t>
      </w:r>
      <w:r>
        <w:rPr>
          <w:b/>
          <w:bCs/>
          <w:sz w:val="20"/>
          <w:szCs w:val="20"/>
        </w:rPr>
        <w:t>ETY DISCLOSURES</w:t>
      </w:r>
      <w:r>
        <w:rPr>
          <w:b/>
          <w:bCs/>
          <w:sz w:val="20"/>
          <w:szCs w:val="20"/>
        </w:rPr>
        <w:t>.</w:t>
      </w:r>
    </w:p>
    <w:p w:rsidR="00000000" w:rsidRDefault="006D723D">
      <w:pPr>
        <w:pStyle w:val="a3"/>
        <w:spacing w:before="120" w:beforeAutospacing="0" w:after="0" w:afterAutospacing="0"/>
        <w:jc w:val="both"/>
        <w:rPr>
          <w:sz w:val="20"/>
          <w:szCs w:val="20"/>
        </w:rPr>
      </w:pPr>
      <w:r>
        <w:rPr>
          <w:sz w:val="20"/>
          <w:szCs w:val="20"/>
        </w:rPr>
        <w:t>None</w:t>
      </w:r>
      <w:r>
        <w:rPr>
          <w:sz w:val="20"/>
          <w:szCs w:val="20"/>
        </w:rPr>
        <w:t>.</w:t>
      </w:r>
    </w:p>
    <w:p w:rsidR="00000000" w:rsidRDefault="006D723D">
      <w:pPr>
        <w:pStyle w:val="a3"/>
        <w:spacing w:before="240" w:beforeAutospacing="0" w:after="0" w:afterAutospacing="0"/>
        <w:jc w:val="center"/>
        <w:rPr>
          <w:sz w:val="20"/>
          <w:szCs w:val="20"/>
        </w:rPr>
      </w:pPr>
      <w:r>
        <w:rPr>
          <w:sz w:val="20"/>
          <w:szCs w:val="20"/>
        </w:rPr>
        <w:t>6</w:t>
      </w:r>
      <w:r>
        <w:rPr>
          <w:sz w:val="20"/>
          <w:szCs w:val="20"/>
        </w:rPr>
        <w:t>2</w:t>
      </w:r>
    </w:p>
    <w:p w:rsidR="00000000" w:rsidRDefault="006D723D">
      <w:pPr>
        <w:rPr>
          <w:rFonts w:eastAsia="Times New Roman"/>
        </w:rPr>
      </w:pPr>
      <w:r>
        <w:rPr>
          <w:rFonts w:eastAsia="Times New Roman"/>
        </w:rPr>
        <w:pict>
          <v:rect id="_x0000_i1086"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jc w:val="center"/>
        <w:rPr>
          <w:sz w:val="20"/>
          <w:szCs w:val="20"/>
        </w:rPr>
      </w:pPr>
      <w:r>
        <w:rPr>
          <w:b/>
          <w:bCs/>
          <w:sz w:val="20"/>
          <w:szCs w:val="20"/>
        </w:rPr>
        <w:t>PAR</w:t>
      </w:r>
      <w:r>
        <w:rPr>
          <w:b/>
          <w:bCs/>
          <w:sz w:val="20"/>
          <w:szCs w:val="20"/>
        </w:rPr>
        <w:t>T</w:t>
      </w:r>
      <w:r>
        <w:rPr>
          <w:b/>
          <w:bCs/>
          <w:sz w:val="20"/>
          <w:szCs w:val="20"/>
        </w:rPr>
        <w:t xml:space="preserve"> II</w:t>
      </w:r>
      <w:r>
        <w:rPr>
          <w:b/>
          <w:bCs/>
          <w:sz w:val="20"/>
          <w:szCs w:val="20"/>
        </w:rPr>
        <w:t>.</w:t>
      </w:r>
    </w:p>
    <w:p w:rsidR="00000000" w:rsidRDefault="006D723D">
      <w:pPr>
        <w:pStyle w:val="a3"/>
        <w:spacing w:before="240" w:beforeAutospacing="0" w:after="0" w:afterAutospacing="0"/>
        <w:ind w:hanging="1220"/>
        <w:jc w:val="both"/>
        <w:rPr>
          <w:sz w:val="20"/>
          <w:szCs w:val="20"/>
        </w:rPr>
      </w:pPr>
      <w:r>
        <w:rPr>
          <w:b/>
          <w:bCs/>
          <w:sz w:val="20"/>
          <w:szCs w:val="20"/>
        </w:rPr>
        <w:t>ITEM 5. MARKET FOR REGISTRANT'S COMMON EQUITY, RELATED STO</w:t>
      </w:r>
      <w:r>
        <w:rPr>
          <w:b/>
          <w:bCs/>
          <w:sz w:val="20"/>
          <w:szCs w:val="20"/>
        </w:rPr>
        <w:t>C</w:t>
      </w:r>
      <w:r>
        <w:rPr>
          <w:b/>
          <w:bCs/>
          <w:sz w:val="20"/>
          <w:szCs w:val="20"/>
        </w:rPr>
        <w:t>KHOLDER MATTERS AND ISSUER PURCHASES OF EQUITY SECURITIES</w:t>
      </w:r>
      <w:r>
        <w:rPr>
          <w:b/>
          <w:bCs/>
          <w:sz w:val="20"/>
          <w:szCs w:val="20"/>
        </w:rPr>
        <w:t>.</w:t>
      </w:r>
    </w:p>
    <w:p w:rsidR="00000000" w:rsidRDefault="006D723D">
      <w:pPr>
        <w:pStyle w:val="a3"/>
        <w:spacing w:before="120" w:beforeAutospacing="0" w:after="0" w:afterAutospacing="0"/>
        <w:jc w:val="both"/>
        <w:rPr>
          <w:sz w:val="20"/>
          <w:szCs w:val="20"/>
        </w:rPr>
      </w:pPr>
      <w:r>
        <w:rPr>
          <w:b/>
          <w:bCs/>
          <w:sz w:val="20"/>
          <w:szCs w:val="20"/>
        </w:rPr>
        <w:t>Market Price of and Dist</w:t>
      </w:r>
      <w:r>
        <w:rPr>
          <w:b/>
          <w:bCs/>
          <w:sz w:val="20"/>
          <w:szCs w:val="20"/>
        </w:rPr>
        <w:t>r</w:t>
      </w:r>
      <w:r>
        <w:rPr>
          <w:b/>
          <w:bCs/>
          <w:sz w:val="20"/>
          <w:szCs w:val="20"/>
        </w:rPr>
        <w:t>ibutions on Capital Stoc</w:t>
      </w:r>
      <w:r>
        <w:rPr>
          <w:b/>
          <w:bCs/>
          <w:sz w:val="20"/>
          <w:szCs w:val="20"/>
        </w:rPr>
        <w:t>k</w:t>
      </w:r>
    </w:p>
    <w:p w:rsidR="00000000" w:rsidRDefault="006D723D">
      <w:pPr>
        <w:pStyle w:val="a3"/>
        <w:spacing w:before="120" w:beforeAutospacing="0" w:after="0" w:afterAutospacing="0"/>
        <w:jc w:val="both"/>
        <w:rPr>
          <w:sz w:val="20"/>
          <w:szCs w:val="20"/>
        </w:rPr>
      </w:pPr>
      <w:r>
        <w:rPr>
          <w:sz w:val="20"/>
          <w:szCs w:val="20"/>
        </w:rPr>
        <w:t xml:space="preserve">Our common stock is traded on the New York Stock Exchange, or NYSE, under the symbol "CXW." On February 13, 2023, the last reported sale price of our common stock was $11.60 per share and there were approximately 2,400 registered holders and approximately </w:t>
      </w:r>
      <w:r>
        <w:rPr>
          <w:sz w:val="20"/>
          <w:szCs w:val="20"/>
        </w:rPr>
        <w:t>33,000 beneficial holders, respectively, of our common stock</w:t>
      </w:r>
      <w:r>
        <w:rPr>
          <w:sz w:val="20"/>
          <w:szCs w:val="20"/>
        </w:rPr>
        <w:t>.</w:t>
      </w:r>
    </w:p>
    <w:p w:rsidR="00000000" w:rsidRDefault="006D723D">
      <w:pPr>
        <w:pStyle w:val="a3"/>
        <w:spacing w:before="0" w:beforeAutospacing="0" w:after="0" w:afterAutospacing="0"/>
        <w:jc w:val="both"/>
        <w:rPr>
          <w:sz w:val="20"/>
          <w:szCs w:val="20"/>
        </w:rPr>
      </w:pPr>
      <w:r>
        <w:rPr>
          <w:sz w:val="16"/>
          <w:szCs w:val="16"/>
        </w:rPr>
        <w:t> </w:t>
      </w:r>
    </w:p>
    <w:p w:rsidR="00000000" w:rsidRDefault="006D723D">
      <w:pPr>
        <w:pStyle w:val="a3"/>
        <w:spacing w:before="160" w:beforeAutospacing="0" w:after="0" w:afterAutospacing="0"/>
        <w:jc w:val="both"/>
        <w:rPr>
          <w:sz w:val="20"/>
          <w:szCs w:val="20"/>
        </w:rPr>
      </w:pPr>
      <w:r>
        <w:rPr>
          <w:b/>
          <w:bCs/>
          <w:sz w:val="20"/>
          <w:szCs w:val="20"/>
        </w:rPr>
        <w:t>Dividen</w:t>
      </w:r>
      <w:r>
        <w:rPr>
          <w:b/>
          <w:bCs/>
          <w:sz w:val="20"/>
          <w:szCs w:val="20"/>
        </w:rPr>
        <w:t>d</w:t>
      </w:r>
      <w:r>
        <w:rPr>
          <w:b/>
          <w:bCs/>
          <w:sz w:val="20"/>
          <w:szCs w:val="20"/>
        </w:rPr>
        <w:t xml:space="preserve"> Polic</w:t>
      </w:r>
      <w:r>
        <w:rPr>
          <w:b/>
          <w:bCs/>
          <w:sz w:val="20"/>
          <w:szCs w:val="20"/>
        </w:rPr>
        <w:t>y</w:t>
      </w:r>
    </w:p>
    <w:p w:rsidR="00000000" w:rsidRDefault="006D723D">
      <w:pPr>
        <w:pStyle w:val="a3"/>
        <w:spacing w:before="120" w:beforeAutospacing="0" w:after="0" w:afterAutospacing="0"/>
        <w:jc w:val="both"/>
        <w:rPr>
          <w:sz w:val="20"/>
          <w:szCs w:val="20"/>
        </w:rPr>
      </w:pPr>
      <w:r>
        <w:rPr>
          <w:sz w:val="20"/>
          <w:szCs w:val="20"/>
        </w:rPr>
        <w:t>In order to qualify as a REIT for the years we elected REIT status, we were generally required to distribute to our stockholders at least 90% of our REIT taxable income (determ</w:t>
      </w:r>
      <w:r>
        <w:rPr>
          <w:sz w:val="20"/>
          <w:szCs w:val="20"/>
        </w:rPr>
        <w:t>ined without regard to the dividends paid deduction and excluding net capital gains), and we were subject to tax to the extent our net taxable income (including net capital gains) was not fully distributed. We announced on June 17, 2020 that our Board of D</w:t>
      </w:r>
      <w:r>
        <w:rPr>
          <w:sz w:val="20"/>
          <w:szCs w:val="20"/>
        </w:rPr>
        <w:t>irectors, or BOD, suspended our quarterly dividend while it evaluated corporate structure and capital allocation alternatives. On August 5, 2020, our BOD voted unanimously to approve a plan to revoke our REIT election and become a taxable C Corporation, ef</w:t>
      </w:r>
      <w:r>
        <w:rPr>
          <w:sz w:val="20"/>
          <w:szCs w:val="20"/>
        </w:rPr>
        <w:t>fective January 1, 2021; our BOD also voted unanimously to discontinue the quarterly dividend and prioritize allocating our free cash flow to reduce debt levels</w:t>
      </w:r>
      <w:r>
        <w:rPr>
          <w:sz w:val="20"/>
          <w:szCs w:val="20"/>
        </w:rPr>
        <w:t>.</w:t>
      </w:r>
    </w:p>
    <w:p w:rsidR="00000000" w:rsidRDefault="006D723D">
      <w:pPr>
        <w:pStyle w:val="a3"/>
        <w:spacing w:before="320" w:beforeAutospacing="0" w:after="240" w:afterAutospacing="0"/>
        <w:jc w:val="both"/>
        <w:rPr>
          <w:sz w:val="20"/>
          <w:szCs w:val="20"/>
        </w:rPr>
      </w:pPr>
      <w:r>
        <w:rPr>
          <w:b/>
          <w:bCs/>
          <w:sz w:val="20"/>
          <w:szCs w:val="20"/>
        </w:rPr>
        <w:t>Issuer Purchases o</w:t>
      </w:r>
      <w:r>
        <w:rPr>
          <w:b/>
          <w:bCs/>
          <w:sz w:val="20"/>
          <w:szCs w:val="20"/>
        </w:rPr>
        <w:t>f</w:t>
      </w:r>
      <w:r>
        <w:rPr>
          <w:b/>
          <w:bCs/>
          <w:sz w:val="20"/>
          <w:szCs w:val="20"/>
        </w:rPr>
        <w:t xml:space="preserve"> Equity Securitie</w:t>
      </w:r>
      <w:r>
        <w:rPr>
          <w:b/>
          <w:bCs/>
          <w:sz w:val="20"/>
          <w:szCs w:val="20"/>
        </w:rPr>
        <w: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5"/>
        <w:gridCol w:w="235"/>
        <w:gridCol w:w="111"/>
        <w:gridCol w:w="851"/>
        <w:gridCol w:w="110"/>
        <w:gridCol w:w="161"/>
        <w:gridCol w:w="161"/>
        <w:gridCol w:w="723"/>
        <w:gridCol w:w="110"/>
        <w:gridCol w:w="125"/>
        <w:gridCol w:w="111"/>
        <w:gridCol w:w="996"/>
        <w:gridCol w:w="110"/>
        <w:gridCol w:w="162"/>
        <w:gridCol w:w="160"/>
        <w:gridCol w:w="1320"/>
        <w:gridCol w:w="125"/>
      </w:tblGrid>
      <w:tr w:rsidR="00000000">
        <w:trPr>
          <w:tblCellSpacing w:w="15" w:type="dxa"/>
        </w:trPr>
        <w:tc>
          <w:tcPr>
            <w:tcW w:w="1741" w:type="pct"/>
            <w:vAlign w:val="center"/>
            <w:hideMark/>
          </w:tcPr>
          <w:p w:rsidR="00000000" w:rsidRDefault="006D723D">
            <w:pPr>
              <w:rPr>
                <w:sz w:val="20"/>
                <w:szCs w:val="20"/>
              </w:rPr>
            </w:pPr>
          </w:p>
        </w:tc>
        <w:tc>
          <w:tcPr>
            <w:tcW w:w="14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20"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95"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57"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7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3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95"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840"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trHeight w:val="200"/>
          <w:tblCellSpacing w:w="15" w:type="dxa"/>
        </w:trPr>
        <w:tc>
          <w:tcPr>
            <w:tcW w:w="0" w:type="auto"/>
            <w:vAlign w:val="bottom"/>
            <w:hideMark/>
          </w:tcPr>
          <w:p w:rsidR="00000000" w:rsidRDefault="006D723D">
            <w:pPr>
              <w:pStyle w:val="a3"/>
              <w:spacing w:before="0" w:beforeAutospacing="0" w:after="0" w:afterAutospacing="0"/>
              <w:jc w:val="center"/>
              <w:rPr>
                <w:sz w:val="20"/>
                <w:szCs w:val="20"/>
              </w:rPr>
            </w:pPr>
            <w:r>
              <w:rPr>
                <w:b/>
                <w:bCs/>
                <w:sz w:val="20"/>
                <w:szCs w:val="20"/>
              </w:rPr>
              <w:t>Perio</w:t>
            </w:r>
            <w:r>
              <w:rPr>
                <w:b/>
                <w:bCs/>
                <w:sz w:val="20"/>
                <w:szCs w:val="20"/>
              </w:rPr>
              <w:t>d</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center"/>
              <w:rPr>
                <w:sz w:val="20"/>
                <w:szCs w:val="20"/>
              </w:rPr>
            </w:pPr>
            <w:r>
              <w:rPr>
                <w:b/>
                <w:bCs/>
                <w:sz w:val="20"/>
                <w:szCs w:val="20"/>
              </w:rPr>
              <w:t>Total Number</w:t>
            </w:r>
            <w:r>
              <w:rPr>
                <w:b/>
                <w:bCs/>
                <w:sz w:val="20"/>
                <w:szCs w:val="20"/>
              </w:rPr>
              <w:br/>
            </w:r>
            <w:r>
              <w:rPr>
                <w:b/>
                <w:bCs/>
                <w:sz w:val="20"/>
                <w:szCs w:val="20"/>
              </w:rPr>
              <w:t>of Shares</w:t>
            </w:r>
            <w:r>
              <w:rPr>
                <w:b/>
                <w:bCs/>
                <w:sz w:val="20"/>
                <w:szCs w:val="20"/>
              </w:rPr>
              <w:br/>
              <w:t>Purchase</w:t>
            </w:r>
            <w:r>
              <w:rPr>
                <w:b/>
                <w:bCs/>
                <w:sz w:val="20"/>
                <w:szCs w:val="20"/>
              </w:rPr>
              <w:t>d</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center"/>
              <w:rPr>
                <w:sz w:val="20"/>
                <w:szCs w:val="20"/>
              </w:rPr>
            </w:pPr>
            <w:r>
              <w:rPr>
                <w:b/>
                <w:bCs/>
                <w:sz w:val="20"/>
                <w:szCs w:val="20"/>
              </w:rPr>
              <w:t>Average Price</w:t>
            </w:r>
            <w:r>
              <w:rPr>
                <w:b/>
                <w:bCs/>
                <w:sz w:val="20"/>
                <w:szCs w:val="20"/>
              </w:rPr>
              <w:br/>
              <w:t>Paid per Shar</w:t>
            </w:r>
            <w:r>
              <w:rPr>
                <w:b/>
                <w:bCs/>
                <w:sz w:val="20"/>
                <w:szCs w:val="20"/>
              </w:rPr>
              <w:t>e</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center"/>
              <w:rPr>
                <w:sz w:val="20"/>
                <w:szCs w:val="20"/>
              </w:rPr>
            </w:pPr>
            <w:r>
              <w:rPr>
                <w:b/>
                <w:bCs/>
                <w:sz w:val="20"/>
                <w:szCs w:val="20"/>
              </w:rPr>
              <w:t>Total Number</w:t>
            </w:r>
            <w:r>
              <w:rPr>
                <w:b/>
                <w:bCs/>
                <w:sz w:val="20"/>
                <w:szCs w:val="20"/>
              </w:rPr>
              <w:br/>
              <w:t>of Shares</w:t>
            </w:r>
            <w:r>
              <w:rPr>
                <w:b/>
                <w:bCs/>
                <w:sz w:val="20"/>
                <w:szCs w:val="20"/>
              </w:rPr>
              <w:br/>
              <w:t>Purchased as</w:t>
            </w:r>
            <w:r>
              <w:rPr>
                <w:b/>
                <w:bCs/>
                <w:sz w:val="20"/>
                <w:szCs w:val="20"/>
              </w:rPr>
              <w:br/>
              <w:t>Part of Publicly</w:t>
            </w:r>
            <w:r>
              <w:rPr>
                <w:b/>
                <w:bCs/>
                <w:sz w:val="20"/>
                <w:szCs w:val="20"/>
              </w:rPr>
              <w:br/>
              <w:t>Announced</w:t>
            </w:r>
            <w:r>
              <w:rPr>
                <w:b/>
                <w:bCs/>
                <w:sz w:val="20"/>
                <w:szCs w:val="20"/>
              </w:rPr>
              <w:br/>
              <w:t>Plans or</w:t>
            </w:r>
            <w:r>
              <w:rPr>
                <w:b/>
                <w:bCs/>
                <w:sz w:val="20"/>
                <w:szCs w:val="20"/>
              </w:rPr>
              <w:br/>
              <w:t>Program</w:t>
            </w:r>
            <w:r>
              <w:rPr>
                <w:b/>
                <w:bCs/>
                <w:sz w:val="20"/>
                <w:szCs w:val="20"/>
              </w:rPr>
              <w:t>s</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center"/>
              <w:rPr>
                <w:sz w:val="20"/>
                <w:szCs w:val="20"/>
              </w:rPr>
            </w:pPr>
            <w:r>
              <w:rPr>
                <w:b/>
                <w:bCs/>
                <w:sz w:val="20"/>
                <w:szCs w:val="20"/>
              </w:rPr>
              <w:t>Approximate</w:t>
            </w:r>
            <w:r>
              <w:rPr>
                <w:b/>
                <w:bCs/>
                <w:sz w:val="20"/>
                <w:szCs w:val="20"/>
              </w:rPr>
              <w:br/>
              <w:t>Dollar Value of</w:t>
            </w:r>
            <w:r>
              <w:rPr>
                <w:b/>
                <w:bCs/>
                <w:sz w:val="20"/>
                <w:szCs w:val="20"/>
              </w:rPr>
              <w:br/>
              <w:t>Shares that</w:t>
            </w:r>
            <w:r>
              <w:rPr>
                <w:b/>
                <w:bCs/>
                <w:sz w:val="20"/>
                <w:szCs w:val="20"/>
              </w:rPr>
              <w:br/>
              <w:t>May Yet Be</w:t>
            </w:r>
            <w:r>
              <w:rPr>
                <w:b/>
                <w:bCs/>
                <w:sz w:val="20"/>
                <w:szCs w:val="20"/>
              </w:rPr>
              <w:br/>
              <w:t xml:space="preserve">Purchased </w:t>
            </w:r>
            <w:r>
              <w:rPr>
                <w:b/>
                <w:bCs/>
                <w:sz w:val="20"/>
                <w:szCs w:val="20"/>
              </w:rPr>
              <w:br/>
              <w:t>Under the Plans</w:t>
            </w:r>
            <w:r>
              <w:rPr>
                <w:b/>
                <w:bCs/>
                <w:sz w:val="20"/>
                <w:szCs w:val="20"/>
              </w:rPr>
              <w:br/>
              <w:t>or Programs (1</w:t>
            </w:r>
            <w:r>
              <w:rPr>
                <w:b/>
                <w:bCs/>
                <w:sz w:val="20"/>
                <w:szCs w:val="20"/>
              </w:rPr>
              <w:t>)</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October 1, 2022 - October 31, 202</w:t>
            </w:r>
            <w:r>
              <w:rPr>
                <w:sz w:val="20"/>
                <w:szCs w:val="20"/>
              </w:rPr>
              <w:t>2</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10</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8.9</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10</w:t>
            </w:r>
            <w:r>
              <w:rPr>
                <w:sz w:val="20"/>
                <w:szCs w:val="20"/>
              </w:rPr>
              <w:t>0</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150,463,90</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November 1, 2022 - November 30, 202</w:t>
            </w:r>
            <w:r>
              <w:rPr>
                <w:sz w:val="20"/>
                <w:szCs w:val="20"/>
              </w:rPr>
              <w:t>2</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150,463,90</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December 1, 2022 - December 31, 202</w:t>
            </w:r>
            <w:r>
              <w:rPr>
                <w:sz w:val="20"/>
                <w:szCs w:val="20"/>
              </w:rPr>
              <w:t>2</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150,463,90</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b/>
                <w:bCs/>
                <w:sz w:val="20"/>
                <w:szCs w:val="20"/>
              </w:rPr>
              <w:t>Tota</w:t>
            </w:r>
            <w:r>
              <w:rPr>
                <w:b/>
                <w:bCs/>
                <w:sz w:val="20"/>
                <w:szCs w:val="20"/>
              </w:rPr>
              <w:t>l</w:t>
            </w:r>
          </w:p>
        </w:tc>
        <w:tc>
          <w:tcPr>
            <w:tcW w:w="0" w:type="auto"/>
            <w:vAlign w:val="bottom"/>
            <w:hideMark/>
          </w:tcPr>
          <w:p w:rsidR="00000000" w:rsidRDefault="006D723D">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10</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2"/>
                <w:szCs w:val="22"/>
              </w:rPr>
            </w:pPr>
            <w:r>
              <w:rPr>
                <w:rFonts w:ascii="Calibri" w:hAnsi="Calibri" w:cs="Calibri"/>
                <w:sz w:val="22"/>
                <w:szCs w:val="22"/>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8.9</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2"/>
                <w:szCs w:val="22"/>
              </w:rPr>
            </w:pPr>
            <w:r>
              <w:rPr>
                <w:rFonts w:ascii="Calibri" w:hAnsi="Calibri" w:cs="Calibri"/>
                <w:sz w:val="22"/>
                <w:szCs w:val="22"/>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10</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2"/>
                <w:szCs w:val="22"/>
              </w:rPr>
            </w:pPr>
            <w:r>
              <w:rPr>
                <w:rFonts w:ascii="Calibri" w:hAnsi="Calibri" w:cs="Calibri"/>
                <w:sz w:val="22"/>
                <w:szCs w:val="22"/>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150,463,90</w:t>
            </w:r>
            <w:r>
              <w:rPr>
                <w:b/>
                <w:bCs/>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bl>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rPr>
          <w:sz w:val="20"/>
          <w:szCs w:val="20"/>
        </w:rPr>
      </w:pPr>
      <w:r>
        <w:rPr>
          <w:sz w:val="16"/>
          <w:szCs w:val="16"/>
        </w:rPr>
        <w:t> </w:t>
      </w:r>
    </w:p>
    <w:p w:rsidR="00000000" w:rsidRDefault="006D723D">
      <w:pPr>
        <w:pStyle w:val="a3"/>
        <w:spacing w:before="0" w:beforeAutospacing="0" w:after="0" w:afterAutospacing="0"/>
        <w:jc w:val="both"/>
        <w:rPr>
          <w:sz w:val="20"/>
          <w:szCs w:val="20"/>
        </w:rPr>
      </w:pPr>
      <w:r>
        <w:rPr>
          <w:sz w:val="20"/>
          <w:szCs w:val="20"/>
        </w:rPr>
        <w:t>(1) On May 12, 2022, the Company announced that its BOD had approved a share repurchase program to repurchase up to $150.0 million of the Company's common stock. On August 2, 2022, the BOD increased the authorization to repurchase under the share repurchas</w:t>
      </w:r>
      <w:r>
        <w:rPr>
          <w:sz w:val="20"/>
          <w:szCs w:val="20"/>
        </w:rPr>
        <w:t>e program by up to an additional $75.0 million of the Company's common stock, which resulted in a total aggregate amount to repurchase up to $225.0 million of the Company's common stock. Repurchases of the Company's outstanding common stock will be made in</w:t>
      </w:r>
      <w:r>
        <w:rPr>
          <w:sz w:val="20"/>
          <w:szCs w:val="20"/>
        </w:rPr>
        <w:t xml:space="preserve"> accordance with applicable securities laws and may be made at the Company's discretion based on parameters set by the BOD from time to time in the open market, through privately negotiated transactions, or otherwise. The share repurchase program has no ti</w:t>
      </w:r>
      <w:r>
        <w:rPr>
          <w:sz w:val="20"/>
          <w:szCs w:val="20"/>
        </w:rPr>
        <w:t>me limit and does not obligate the Company to purchase any particular amount of its common stock. The authorization for the share repurchase program may be terminated, suspended, increased or decreased by the BOD in its discretion at any time. As of Decemb</w:t>
      </w:r>
      <w:r>
        <w:rPr>
          <w:sz w:val="20"/>
          <w:szCs w:val="20"/>
        </w:rPr>
        <w:t>er 31, 2022, the Company had repurchased a total of 6.6 million common shares at an aggregate cost of approximately $74.5 million. Repurchases of our outstanding common stock will be made in accordance with applicable securities laws and may be made at our</w:t>
      </w:r>
      <w:r>
        <w:rPr>
          <w:sz w:val="20"/>
          <w:szCs w:val="20"/>
        </w:rPr>
        <w:t xml:space="preserve"> discretion based on parameters set by the BOD from time to time in the open market, through privately negotiated transactions or otherwise. The share repurchase program has no time limit and does not obligate us to purchase any particular amount of our co</w:t>
      </w:r>
      <w:r>
        <w:rPr>
          <w:sz w:val="20"/>
          <w:szCs w:val="20"/>
        </w:rPr>
        <w:t>mmon stock</w:t>
      </w:r>
      <w:r>
        <w:rPr>
          <w:sz w:val="20"/>
          <w:szCs w:val="20"/>
        </w:rPr>
        <w:t>.</w:t>
      </w:r>
    </w:p>
    <w:p w:rsidR="00000000" w:rsidRDefault="006D723D">
      <w:pPr>
        <w:pStyle w:val="a3"/>
        <w:spacing w:before="360" w:beforeAutospacing="0" w:after="0" w:afterAutospacing="0"/>
        <w:ind w:hanging="1220"/>
        <w:rPr>
          <w:sz w:val="20"/>
          <w:szCs w:val="20"/>
        </w:rPr>
      </w:pPr>
      <w:r>
        <w:rPr>
          <w:b/>
          <w:bCs/>
          <w:sz w:val="20"/>
          <w:szCs w:val="20"/>
        </w:rPr>
        <w:t>I</w:t>
      </w:r>
      <w:r>
        <w:rPr>
          <w:b/>
          <w:bCs/>
          <w:sz w:val="20"/>
          <w:szCs w:val="20"/>
        </w:rPr>
        <w:t>TEM 6. [Reserved</w:t>
      </w:r>
      <w:r>
        <w:rPr>
          <w:b/>
          <w:bCs/>
          <w:sz w:val="20"/>
          <w:szCs w:val="20"/>
        </w:rPr>
        <w:t>]</w:t>
      </w:r>
    </w:p>
    <w:p w:rsidR="00000000" w:rsidRDefault="006D723D">
      <w:pPr>
        <w:pStyle w:val="a3"/>
        <w:spacing w:before="240" w:beforeAutospacing="0" w:after="0" w:afterAutospacing="0"/>
        <w:jc w:val="center"/>
        <w:rPr>
          <w:sz w:val="20"/>
          <w:szCs w:val="20"/>
        </w:rPr>
      </w:pPr>
      <w:r>
        <w:rPr>
          <w:sz w:val="20"/>
          <w:szCs w:val="20"/>
        </w:rPr>
        <w:t>6</w:t>
      </w:r>
      <w:r>
        <w:rPr>
          <w:sz w:val="20"/>
          <w:szCs w:val="20"/>
        </w:rPr>
        <w:t>3</w:t>
      </w:r>
    </w:p>
    <w:p w:rsidR="00000000" w:rsidRDefault="006D723D">
      <w:pPr>
        <w:rPr>
          <w:rFonts w:eastAsia="Times New Roman"/>
        </w:rPr>
      </w:pPr>
      <w:r>
        <w:rPr>
          <w:rFonts w:eastAsia="Times New Roman"/>
        </w:rPr>
        <w:pict>
          <v:rect id="_x0000_i1087"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ind w:hanging="1220"/>
        <w:jc w:val="both"/>
        <w:rPr>
          <w:sz w:val="20"/>
          <w:szCs w:val="20"/>
        </w:rPr>
      </w:pPr>
      <w:r>
        <w:rPr>
          <w:b/>
          <w:bCs/>
          <w:sz w:val="20"/>
          <w:szCs w:val="20"/>
        </w:rPr>
        <w:t>ITEM 7. MANAGEMENT'S DISCUSSION AND ANALYSIS OF</w:t>
      </w:r>
      <w:r>
        <w:rPr>
          <w:b/>
          <w:bCs/>
          <w:sz w:val="20"/>
          <w:szCs w:val="20"/>
        </w:rPr>
        <w:t xml:space="preserve"> </w:t>
      </w:r>
      <w:r>
        <w:rPr>
          <w:b/>
          <w:bCs/>
          <w:sz w:val="20"/>
          <w:szCs w:val="20"/>
        </w:rPr>
        <w:t>FINANCIAL CONDITION AND RESULTS OF OPERATIONS</w:t>
      </w:r>
      <w:r>
        <w:rPr>
          <w:b/>
          <w:bCs/>
          <w:sz w:val="20"/>
          <w:szCs w:val="20"/>
        </w:rPr>
        <w:t>.</w:t>
      </w:r>
    </w:p>
    <w:p w:rsidR="00000000" w:rsidRDefault="006D723D">
      <w:pPr>
        <w:pStyle w:val="a3"/>
        <w:spacing w:before="120" w:beforeAutospacing="0" w:after="0" w:afterAutospacing="0"/>
        <w:jc w:val="both"/>
        <w:rPr>
          <w:sz w:val="20"/>
          <w:szCs w:val="20"/>
        </w:rPr>
      </w:pPr>
      <w:r>
        <w:rPr>
          <w:i/>
          <w:iCs/>
          <w:sz w:val="20"/>
          <w:szCs w:val="20"/>
        </w:rPr>
        <w:t>The following discussion should be read in conjunction with the consolidated financial st</w:t>
      </w:r>
      <w:r>
        <w:rPr>
          <w:i/>
          <w:iCs/>
          <w:sz w:val="20"/>
          <w:szCs w:val="20"/>
        </w:rPr>
        <w:t>atements and notes thereto appearing elsewhere in this Annual Report on Form 10-K, or this Annual Repor</w:t>
      </w:r>
      <w:r>
        <w:rPr>
          <w:i/>
          <w:iCs/>
          <w:sz w:val="20"/>
          <w:szCs w:val="20"/>
        </w:rPr>
        <w:t>t</w:t>
      </w:r>
      <w:r>
        <w:rPr>
          <w:sz w:val="20"/>
          <w:szCs w:val="20"/>
        </w:rPr>
        <w:t>.</w:t>
      </w:r>
      <w:r>
        <w:rPr>
          <w:sz w:val="20"/>
          <w:szCs w:val="20"/>
        </w:rPr>
        <w:t xml:space="preserve"> </w:t>
      </w:r>
      <w:r>
        <w:rPr>
          <w:i/>
          <w:iCs/>
          <w:sz w:val="20"/>
          <w:szCs w:val="20"/>
        </w:rPr>
        <w:t>In this Annual Report, we use the term, the "Company," "CoreCivic," "we," "us," and "our" to refer to CoreCivic, Inc. and its subsidiaries unless cont</w:t>
      </w:r>
      <w:r>
        <w:rPr>
          <w:i/>
          <w:iCs/>
          <w:sz w:val="20"/>
          <w:szCs w:val="20"/>
        </w:rPr>
        <w:t>ext indicates otherwise</w:t>
      </w:r>
      <w:r>
        <w:rPr>
          <w:i/>
          <w:iCs/>
          <w:sz w:val="20"/>
          <w:szCs w:val="20"/>
        </w:rPr>
        <w:t>.</w:t>
      </w:r>
      <w:r>
        <w:rPr>
          <w:sz w:val="20"/>
          <w:szCs w:val="20"/>
        </w:rPr>
        <w:t xml:space="preserve"> </w:t>
      </w:r>
      <w:r>
        <w:rPr>
          <w:i/>
          <w:iCs/>
          <w:sz w:val="20"/>
          <w:szCs w:val="20"/>
        </w:rPr>
        <w:t>This discussion contains forward-looking statements that involve risks and uncertainties. Our actual results may differ materially from those anticipated in these forward-looking statements as a result of certain factors, including</w:t>
      </w:r>
      <w:r>
        <w:rPr>
          <w:i/>
          <w:iCs/>
          <w:sz w:val="20"/>
          <w:szCs w:val="20"/>
        </w:rPr>
        <w:t>, but not limited to, those described under</w:t>
      </w:r>
      <w:r>
        <w:rPr>
          <w:i/>
          <w:iCs/>
          <w:sz w:val="20"/>
          <w:szCs w:val="20"/>
        </w:rPr>
        <w:t xml:space="preserve"> </w:t>
      </w:r>
      <w:r>
        <w:rPr>
          <w:sz w:val="20"/>
          <w:szCs w:val="20"/>
        </w:rPr>
        <w:t>"</w:t>
      </w:r>
      <w:r>
        <w:rPr>
          <w:i/>
          <w:iCs/>
          <w:sz w:val="20"/>
          <w:szCs w:val="20"/>
        </w:rPr>
        <w:t>Part I, Item 1A. Risk Factor</w:t>
      </w:r>
      <w:r>
        <w:rPr>
          <w:i/>
          <w:iCs/>
          <w:sz w:val="20"/>
          <w:szCs w:val="20"/>
        </w:rPr>
        <w:t>s</w:t>
      </w:r>
      <w:r>
        <w:rPr>
          <w:sz w:val="20"/>
          <w:szCs w:val="20"/>
        </w:rPr>
        <w:t>"</w:t>
      </w:r>
      <w:r>
        <w:rPr>
          <w:i/>
          <w:iCs/>
          <w:sz w:val="20"/>
          <w:szCs w:val="20"/>
        </w:rPr>
        <w:t xml:space="preserve"> and included in other portions of this report</w:t>
      </w:r>
      <w:r>
        <w:rPr>
          <w:i/>
          <w:iCs/>
          <w:sz w:val="20"/>
          <w:szCs w:val="20"/>
        </w:rPr>
        <w:t>.</w:t>
      </w:r>
    </w:p>
    <w:p w:rsidR="00000000" w:rsidRDefault="006D723D">
      <w:pPr>
        <w:pStyle w:val="a3"/>
        <w:spacing w:before="360" w:beforeAutospacing="0" w:after="0" w:afterAutospacing="0"/>
        <w:jc w:val="both"/>
        <w:rPr>
          <w:sz w:val="20"/>
          <w:szCs w:val="20"/>
        </w:rPr>
      </w:pPr>
      <w:r>
        <w:rPr>
          <w:b/>
          <w:bCs/>
          <w:sz w:val="20"/>
          <w:szCs w:val="20"/>
        </w:rPr>
        <w:t>OVER</w:t>
      </w:r>
      <w:r>
        <w:rPr>
          <w:b/>
          <w:bCs/>
          <w:sz w:val="20"/>
          <w:szCs w:val="20"/>
        </w:rPr>
        <w:t>V</w:t>
      </w:r>
      <w:r>
        <w:rPr>
          <w:b/>
          <w:bCs/>
          <w:sz w:val="20"/>
          <w:szCs w:val="20"/>
        </w:rPr>
        <w:t>IE</w:t>
      </w:r>
      <w:r>
        <w:rPr>
          <w:b/>
          <w:bCs/>
          <w:sz w:val="20"/>
          <w:szCs w:val="20"/>
        </w:rPr>
        <w:t>W</w:t>
      </w:r>
    </w:p>
    <w:p w:rsidR="00000000" w:rsidRDefault="006D723D">
      <w:pPr>
        <w:pStyle w:val="a3"/>
        <w:spacing w:before="120" w:beforeAutospacing="0" w:after="0" w:afterAutospacing="0"/>
        <w:jc w:val="both"/>
        <w:rPr>
          <w:sz w:val="20"/>
          <w:szCs w:val="20"/>
        </w:rPr>
      </w:pPr>
      <w:r>
        <w:rPr>
          <w:sz w:val="20"/>
          <w:szCs w:val="20"/>
        </w:rPr>
        <w:t>We are a diversified government solutions company with the scale and experience needed to solve tough government challenges in flexible, cost-effective ways. Through three segments, CoreCivic Safety, CoreCivic Community, and CoreCivic Properties, we provid</w:t>
      </w:r>
      <w:r>
        <w:rPr>
          <w:sz w:val="20"/>
          <w:szCs w:val="20"/>
        </w:rPr>
        <w:t>e a broad range of solutions to government partners that serve the public good through corrections and detention management, a network of residential reentry centers to help address America's recidivism crisis, and government real estate solutions. We have</w:t>
      </w:r>
      <w:r>
        <w:rPr>
          <w:sz w:val="20"/>
          <w:szCs w:val="20"/>
        </w:rPr>
        <w:t xml:space="preserve"> been a flexible and dependable partner for government for 40 years. Our employees are driven by a deep sense of service, high standards of professionalism and a responsibility to help government better the public good</w:t>
      </w:r>
      <w:r>
        <w:rPr>
          <w:sz w:val="20"/>
          <w:szCs w:val="20"/>
        </w:rPr>
        <w:t>.</w:t>
      </w:r>
    </w:p>
    <w:p w:rsidR="00000000" w:rsidRDefault="006D723D">
      <w:pPr>
        <w:pStyle w:val="a3"/>
        <w:spacing w:before="240" w:beforeAutospacing="0" w:after="0" w:afterAutospacing="0"/>
        <w:jc w:val="both"/>
        <w:rPr>
          <w:sz w:val="20"/>
          <w:szCs w:val="20"/>
        </w:rPr>
      </w:pPr>
      <w:r>
        <w:rPr>
          <w:sz w:val="20"/>
          <w:szCs w:val="20"/>
        </w:rPr>
        <w:t>As of December 31, 2022, through our</w:t>
      </w:r>
      <w:r>
        <w:rPr>
          <w:sz w:val="20"/>
          <w:szCs w:val="20"/>
        </w:rPr>
        <w:t xml:space="preserve"> CoreCivic Safety segment, we operated 44 correctional and detention facilities, 40 of which we owned, with a total design capacity of approximately 66,000 beds. Through our CoreCivic Community segment, we owned and operated 23 residential reentry centers </w:t>
      </w:r>
      <w:r>
        <w:rPr>
          <w:sz w:val="20"/>
          <w:szCs w:val="20"/>
        </w:rPr>
        <w:t>with a total design capacity of approximately 5,000 beds. In addition, through our CoreCivic Properties segment, we owned 8 properties leased to government agencies, totaling 1.8 million square feet. We are the nation's largest owner of partnership correct</w:t>
      </w:r>
      <w:r>
        <w:rPr>
          <w:sz w:val="20"/>
          <w:szCs w:val="20"/>
        </w:rPr>
        <w:t>ional, detention, and residential reentry facilities and one of the largest prison operators in the United States. Our size and experience provide us with significant credibility with our current and prospective customers, and enable us to generate economi</w:t>
      </w:r>
      <w:r>
        <w:rPr>
          <w:sz w:val="20"/>
          <w:szCs w:val="20"/>
        </w:rPr>
        <w:t>es of scale in purchasing power for food services, health care and other supplies and services we offer to our government partners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 xml:space="preserve">See </w:t>
      </w:r>
      <w:r>
        <w:rPr>
          <w:sz w:val="20"/>
          <w:szCs w:val="20"/>
        </w:rPr>
        <w:t>"</w:t>
      </w:r>
      <w:r>
        <w:rPr>
          <w:i/>
          <w:iCs/>
          <w:sz w:val="20"/>
          <w:szCs w:val="20"/>
        </w:rPr>
        <w:t>Part I, Item 1. Business – Overvie</w:t>
      </w:r>
      <w:r>
        <w:rPr>
          <w:i/>
          <w:iCs/>
          <w:sz w:val="20"/>
          <w:szCs w:val="20"/>
        </w:rPr>
        <w:t>w</w:t>
      </w:r>
      <w:r>
        <w:rPr>
          <w:sz w:val="20"/>
          <w:szCs w:val="20"/>
        </w:rPr>
        <w:t>" for a description of how we are organized</w:t>
      </w:r>
      <w:r>
        <w:rPr>
          <w:sz w:val="20"/>
          <w:szCs w:val="20"/>
        </w:rPr>
        <w:t>.</w:t>
      </w:r>
      <w:r>
        <w:rPr>
          <w:sz w:val="20"/>
          <w:szCs w:val="20"/>
        </w:rPr>
        <w:t xml:space="preserve"> </w:t>
      </w:r>
    </w:p>
    <w:p w:rsidR="00000000" w:rsidRDefault="006D723D">
      <w:pPr>
        <w:pStyle w:val="a3"/>
        <w:spacing w:before="360" w:beforeAutospacing="0" w:after="0" w:afterAutospacing="0"/>
        <w:jc w:val="both"/>
        <w:rPr>
          <w:sz w:val="20"/>
          <w:szCs w:val="20"/>
        </w:rPr>
      </w:pPr>
      <w:r>
        <w:rPr>
          <w:b/>
          <w:bCs/>
          <w:i/>
          <w:iCs/>
          <w:sz w:val="20"/>
          <w:szCs w:val="20"/>
        </w:rPr>
        <w:t>Our Busines</w:t>
      </w:r>
      <w:r>
        <w:rPr>
          <w:b/>
          <w:bCs/>
          <w:i/>
          <w:iCs/>
          <w:sz w:val="20"/>
          <w:szCs w:val="20"/>
        </w:rPr>
        <w:t>s</w:t>
      </w:r>
    </w:p>
    <w:p w:rsidR="00000000" w:rsidRDefault="006D723D">
      <w:pPr>
        <w:pStyle w:val="a3"/>
        <w:spacing w:before="120" w:beforeAutospacing="0" w:after="0" w:afterAutospacing="0"/>
        <w:jc w:val="both"/>
        <w:rPr>
          <w:sz w:val="20"/>
          <w:szCs w:val="20"/>
        </w:rPr>
      </w:pPr>
      <w:r>
        <w:rPr>
          <w:sz w:val="20"/>
          <w:szCs w:val="20"/>
        </w:rPr>
        <w:t>Through our CoreCivic Sa</w:t>
      </w:r>
      <w:r>
        <w:rPr>
          <w:sz w:val="20"/>
          <w:szCs w:val="20"/>
        </w:rPr>
        <w:t>fety and CoreCivic Community segments, we are compensated for providing bed capacity and correctional, detention, and residential reentry services at a per diem rate based upon actual or minimum guaranteed occupancy levels. Federal, state, and local govern</w:t>
      </w:r>
      <w:r>
        <w:rPr>
          <w:sz w:val="20"/>
          <w:szCs w:val="20"/>
        </w:rPr>
        <w:t>ments are constantly under budgetary constraints putting pressure on governments to control correctional budgets, including per diem rates our customers pay to us as well as pressure on appropriations for building new prison capacity</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The solutions we pro</w:t>
      </w:r>
      <w:r>
        <w:rPr>
          <w:sz w:val="20"/>
          <w:szCs w:val="20"/>
        </w:rPr>
        <w:t>vide to our federal customers continue to be a significant component of our business. We provide an essential governmental service, and believe our ability to provide flexible solutions and fulfill emergent needs of our federal customers would be very diff</w:t>
      </w:r>
      <w:r>
        <w:rPr>
          <w:sz w:val="20"/>
          <w:szCs w:val="20"/>
        </w:rPr>
        <w:t>icult and costly to replicate in the public sector</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6</w:t>
      </w:r>
      <w:r>
        <w:rPr>
          <w:sz w:val="20"/>
          <w:szCs w:val="20"/>
        </w:rPr>
        <w:t>4</w:t>
      </w:r>
    </w:p>
    <w:p w:rsidR="00000000" w:rsidRDefault="006D723D">
      <w:pPr>
        <w:rPr>
          <w:rFonts w:eastAsia="Times New Roman"/>
        </w:rPr>
      </w:pPr>
      <w:r>
        <w:rPr>
          <w:rFonts w:eastAsia="Times New Roman"/>
        </w:rPr>
        <w:pict>
          <v:rect id="_x0000_i1088"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On January 26, 2021, President Biden issued the Executive Order on Reforming Our Incarceration System to Eliminate the Use of Privately Operated Criminal Detentio</w:t>
      </w:r>
      <w:r>
        <w:rPr>
          <w:sz w:val="20"/>
          <w:szCs w:val="20"/>
        </w:rPr>
        <w:t>n Facilities, or the Private Prison EO. The Private Prison EO directs the Attorney General to not renew United States Department of Justice, or DOJ, contracts with privately operated criminal detention facilities. Two agencies of the DOJ, the United States</w:t>
      </w:r>
      <w:r>
        <w:rPr>
          <w:sz w:val="20"/>
          <w:szCs w:val="20"/>
        </w:rPr>
        <w:t xml:space="preserve"> Federal Bureau of Prisons, or BOP, and the United States Marshals Service, or USMS, utilize our services. The BOP houses inmates who have been convicted, and the USMS is generally responsible for detainees who are awaiting trial. The BOP has experienced a</w:t>
      </w:r>
      <w:r>
        <w:rPr>
          <w:sz w:val="20"/>
          <w:szCs w:val="20"/>
        </w:rPr>
        <w:t xml:space="preserve"> steady decline in inmate populations over the last decade, a trend that has been accelerated by the COVID-19 pandemic. Our remaining prison contract with the BOP at the 1,978-bed McRae Correctional Facility expired on November 30, 2022 and was not renewed</w:t>
      </w:r>
      <w:r>
        <w:rPr>
          <w:sz w:val="20"/>
          <w:szCs w:val="20"/>
        </w:rPr>
        <w:t>. This contract accounted for 2% ($37.8 million) and 2% ($40.6 million) of our total revenue for the twelve months ended December 31, 2022 and 2021, respectively. We completed the sale of the McRae facility in August 2022 to the Georgia Building Authority,</w:t>
      </w:r>
      <w:r>
        <w:rPr>
          <w:sz w:val="20"/>
          <w:szCs w:val="20"/>
        </w:rPr>
        <w:t xml:space="preserve"> and entered into an agreement to lease the facility through November 2022 to allow us to fulfill our obligations to the BOP. The Private Prison EO only applies to agencies that are part of the DOJ, which includes the BOP and USMS. U.S. Immigration and Cus</w:t>
      </w:r>
      <w:r>
        <w:rPr>
          <w:sz w:val="20"/>
          <w:szCs w:val="20"/>
        </w:rPr>
        <w:t>toms Enforcement, or ICE, facilities are not covered by the Private Prison EO, as ICE is an agency of the Department of Homeland Security, or DHS, not the DOJ, although it is possible that the federal government could choose to take similar action on ICE f</w:t>
      </w:r>
      <w:r>
        <w:rPr>
          <w:sz w:val="20"/>
          <w:szCs w:val="20"/>
        </w:rPr>
        <w:t xml:space="preserve">acilities in the future. For the twelve months ended December 31, 2022, USMS and ICE accounted for 22% ($403.9 million) and 29% ($527.3 million), respectively, of our total revenue. For the twelve months ended December 31, 2021, USMS and ICE accounted for </w:t>
      </w:r>
      <w:r>
        <w:rPr>
          <w:sz w:val="20"/>
          <w:szCs w:val="20"/>
        </w:rPr>
        <w:t>23% ($433.6 million) and 30% ($552.2 million), respectively, of our total revenue</w:t>
      </w:r>
      <w:r>
        <w:rPr>
          <w:sz w:val="20"/>
          <w:szCs w:val="20"/>
        </w:rPr>
        <w:t>.</w:t>
      </w:r>
    </w:p>
    <w:p w:rsidR="00000000" w:rsidRDefault="006D723D">
      <w:pPr>
        <w:pStyle w:val="a3"/>
        <w:spacing w:before="240" w:beforeAutospacing="0" w:after="0" w:afterAutospacing="0"/>
        <w:jc w:val="both"/>
        <w:rPr>
          <w:sz w:val="20"/>
          <w:szCs w:val="20"/>
        </w:rPr>
      </w:pPr>
      <w:r>
        <w:rPr>
          <w:sz w:val="20"/>
          <w:szCs w:val="20"/>
        </w:rPr>
        <w:t xml:space="preserve">Unlike the BOP, the USMS does not own detention capacity and relies on the private sector, along with various government agencies, for its detainee population. The USMS has </w:t>
      </w:r>
      <w:r>
        <w:rPr>
          <w:sz w:val="20"/>
          <w:szCs w:val="20"/>
        </w:rPr>
        <w:t>been advised by the Office of the Deputy Attorney General not to renew existing contracts, or enter into new contracts for private detention facilities. During the second quarter of 2021, we had direct contracts with the USMS for up to 992 detainees at our</w:t>
      </w:r>
      <w:r>
        <w:rPr>
          <w:sz w:val="20"/>
          <w:szCs w:val="20"/>
        </w:rPr>
        <w:t xml:space="preserve"> 2016-bed Northeast Ohio Correctional Center and for up to approximately 96 detainees at our 664-bed Crossroads Correctional Center in Montana that expired and were not renewed. On May 28, 2021, we entered into a new three-year contract with Mahoning Count</w:t>
      </w:r>
      <w:r>
        <w:rPr>
          <w:sz w:val="20"/>
          <w:szCs w:val="20"/>
        </w:rPr>
        <w:t>y, Ohio to utilize up to 990 beds at our Northeast Ohio Correctional Center. Mahoning County is responsible for County inmates and federal detainees, including USMS detainees, and the County is using the Northeast Ohio facility to address its population ne</w:t>
      </w:r>
      <w:r>
        <w:rPr>
          <w:sz w:val="20"/>
          <w:szCs w:val="20"/>
        </w:rPr>
        <w:t>eds. During the third quarter of 2021, we entered into an amendment to the contract with the state of Montana to utilize all of the capacity at the Crossroads Correctional Center, including the space vacated by the USMS, and to extend the existing contract</w:t>
      </w:r>
      <w:r>
        <w:rPr>
          <w:sz w:val="20"/>
          <w:szCs w:val="20"/>
        </w:rPr>
        <w:t xml:space="preserve"> to June 30, 2023, with additional renewal options by mutual agreement through August 31, 2029. We had a direct contract with the USMS to care for detainees at our 600-bed West Tennessee Detention Facility that expired on September 30, 2021 and was not ren</w:t>
      </w:r>
      <w:r>
        <w:rPr>
          <w:sz w:val="20"/>
          <w:szCs w:val="20"/>
        </w:rPr>
        <w:t>ewed. In addition, we had a direct contract with the USMS to care for detainees at our 1,033-bed Midwest Regional Reception Center (formerly known as the Leavenworth Detention Center) that expired on December 31, 2021 and was not renewed. We are actively m</w:t>
      </w:r>
      <w:r>
        <w:rPr>
          <w:sz w:val="20"/>
          <w:szCs w:val="20"/>
        </w:rPr>
        <w:t>arketing the West Tennessee Detention Center and the Midwest Regional Reception Center to other government agencies. However, we can provide no assurance that we will be able to reach agreements for the utilization of these facilities</w:t>
      </w:r>
      <w:r>
        <w:rPr>
          <w:sz w:val="20"/>
          <w:szCs w:val="20"/>
        </w:rPr>
        <w:t>.</w:t>
      </w:r>
    </w:p>
    <w:p w:rsidR="00000000" w:rsidRDefault="006D723D">
      <w:pPr>
        <w:pStyle w:val="a3"/>
        <w:spacing w:before="240" w:beforeAutospacing="0" w:after="0" w:afterAutospacing="0"/>
        <w:jc w:val="both"/>
        <w:rPr>
          <w:sz w:val="20"/>
          <w:szCs w:val="20"/>
        </w:rPr>
      </w:pPr>
      <w:r>
        <w:rPr>
          <w:sz w:val="20"/>
          <w:szCs w:val="20"/>
        </w:rPr>
        <w:t>We currently have</w:t>
      </w:r>
      <w:r>
        <w:rPr>
          <w:sz w:val="20"/>
          <w:szCs w:val="20"/>
        </w:rPr>
        <w:t xml:space="preserve"> </w:t>
      </w:r>
      <w:r>
        <w:rPr>
          <w:sz w:val="20"/>
          <w:szCs w:val="20"/>
        </w:rPr>
        <w:t>tw</w:t>
      </w:r>
      <w:r>
        <w:rPr>
          <w:sz w:val="20"/>
          <w:szCs w:val="20"/>
        </w:rPr>
        <w:t>o detention facilities that have direct contracts with the USMS</w:t>
      </w:r>
      <w:r>
        <w:rPr>
          <w:sz w:val="20"/>
          <w:szCs w:val="20"/>
        </w:rPr>
        <w:t xml:space="preserve"> </w:t>
      </w:r>
      <w:r>
        <w:rPr>
          <w:sz w:val="20"/>
          <w:szCs w:val="20"/>
        </w:rPr>
        <w:t xml:space="preserve">that expire in September 2023 and September 2025. The facility with the contract expiring in September 2023 services a substantial number of USMS detainees that we believe will be challenging </w:t>
      </w:r>
      <w:r>
        <w:rPr>
          <w:sz w:val="20"/>
          <w:szCs w:val="20"/>
        </w:rPr>
        <w:t>to replace, and we intend to work with the USMS to enable it to continue to fulfill its mission.</w:t>
      </w:r>
      <w:r>
        <w:rPr>
          <w:sz w:val="20"/>
          <w:szCs w:val="20"/>
        </w:rPr>
        <w:t xml:space="preserve"> </w:t>
      </w:r>
      <w:r>
        <w:rPr>
          <w:sz w:val="20"/>
          <w:szCs w:val="20"/>
        </w:rPr>
        <w:t>However, we can provide no assurance that this contract will be renewed or replaced upon expiration. It is too early to predict the outcome of the expiration o</w:t>
      </w:r>
      <w:r>
        <w:rPr>
          <w:sz w:val="20"/>
          <w:szCs w:val="20"/>
        </w:rPr>
        <w:t>f the contract scheduled to expire in September 2025, and future developments could occur prior to the scheduled expiration dat</w:t>
      </w:r>
      <w:r>
        <w:rPr>
          <w:sz w:val="20"/>
          <w:szCs w:val="20"/>
        </w:rPr>
        <w:t>e</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In March 2020, the World Health Organization declared the outbreak of COVID-19 as a pandemic. As a result, in the first quart</w:t>
      </w:r>
      <w:r>
        <w:rPr>
          <w:sz w:val="20"/>
          <w:szCs w:val="20"/>
        </w:rPr>
        <w:t>er of 2020, the federal government decided to deny entry at the United States southern border to asylum-seekers and anyone crossing the southern border without proper documentation or authority in an effort to contain the spread of COVID-19, a policy known</w:t>
      </w:r>
      <w:r>
        <w:rPr>
          <w:sz w:val="20"/>
          <w:szCs w:val="20"/>
        </w:rPr>
        <w:t xml:space="preserve"> as Title 42, continued by the Biden administration. This policy resulted in a reduction to the number of people ICE detained, including in our detention facilities. On April 1, 2022, the Centers for Disease Control and Prevention, or CDC, issued a Public </w:t>
      </w:r>
      <w:r>
        <w:rPr>
          <w:sz w:val="20"/>
          <w:szCs w:val="20"/>
        </w:rPr>
        <w:t>Health Determination terminating Title 42 with an effective date of May 23, 2022. However, on April 25, 2022, a federal judge issued a temporary restraining order blocking the termination of Title 42, and on May 20, 2022, ruled that the Biden administratio</w:t>
      </w:r>
      <w:r>
        <w:rPr>
          <w:sz w:val="20"/>
          <w:szCs w:val="20"/>
        </w:rPr>
        <w:t>n violated administrative law when it announced that it planned to cease Title 42. On November 15, 2022, another federal judge ruled that expulsions under Title 42 were a violation of the Administrative Procedure Act, noting that Title 42 was an "arbitrary</w:t>
      </w:r>
      <w:r>
        <w:rPr>
          <w:sz w:val="20"/>
          <w:szCs w:val="20"/>
        </w:rPr>
        <w:t xml:space="preserve"> and capricious" violation of the Act, requiring the federal government to process all asylum seekers under applicabl</w:t>
      </w:r>
      <w:r>
        <w:rPr>
          <w:sz w:val="20"/>
          <w:szCs w:val="20"/>
        </w:rPr>
        <w:t>e</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6</w:t>
      </w:r>
      <w:r>
        <w:rPr>
          <w:sz w:val="20"/>
          <w:szCs w:val="20"/>
        </w:rPr>
        <w:t>5</w:t>
      </w:r>
    </w:p>
    <w:p w:rsidR="00000000" w:rsidRDefault="006D723D">
      <w:pPr>
        <w:rPr>
          <w:rFonts w:eastAsia="Times New Roman"/>
        </w:rPr>
      </w:pPr>
      <w:r>
        <w:rPr>
          <w:rFonts w:eastAsia="Times New Roman"/>
        </w:rPr>
        <w:pict>
          <v:rect id="_x0000_i1089"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immigration law in effect prior to the implementation of Title 42. However, on December 19, 20</w:t>
      </w:r>
      <w:r>
        <w:rPr>
          <w:sz w:val="20"/>
          <w:szCs w:val="20"/>
        </w:rPr>
        <w:t>22, the Supreme Court temporarily maintained Title 42, and on December 27, 2022, granted a temporary stay on the cessation of Title 42, while it considers an appeal by a group of states seeking to continue Title 42. If Title 42 is terminated, such action m</w:t>
      </w:r>
      <w:r>
        <w:rPr>
          <w:sz w:val="20"/>
          <w:szCs w:val="20"/>
        </w:rPr>
        <w:t>ay result in an increase in the number of undocumented people permitted to enter the United States claiming asylum, and could result in an increase in the number of people apprehended and detained by ICE</w:t>
      </w:r>
      <w:r>
        <w:rPr>
          <w:sz w:val="20"/>
          <w:szCs w:val="20"/>
        </w:rPr>
        <w:t>.</w:t>
      </w:r>
    </w:p>
    <w:p w:rsidR="00000000" w:rsidRDefault="006D723D">
      <w:pPr>
        <w:pStyle w:val="a3"/>
        <w:spacing w:before="240" w:beforeAutospacing="0" w:after="0" w:afterAutospacing="0"/>
        <w:jc w:val="both"/>
        <w:rPr>
          <w:sz w:val="20"/>
          <w:szCs w:val="20"/>
        </w:rPr>
      </w:pPr>
      <w:r>
        <w:rPr>
          <w:sz w:val="20"/>
          <w:szCs w:val="20"/>
        </w:rPr>
        <w:t>In February 2021, President Biden announced plans t</w:t>
      </w:r>
      <w:r>
        <w:rPr>
          <w:sz w:val="20"/>
          <w:szCs w:val="20"/>
        </w:rPr>
        <w:t>o allow certain migrants to pursue asylum in the United States while awaiting their proceedings in immigration courts, reversing a policy known as the Migrant Protection Protocols, or MPP, commonly referred to as the "Remain in Mexico Policy," enacted by t</w:t>
      </w:r>
      <w:r>
        <w:rPr>
          <w:sz w:val="20"/>
          <w:szCs w:val="20"/>
        </w:rPr>
        <w:t>he Trump administration. The MPP required asylum seekers to wait in Mexico during the pendency of their immigration court proceedings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MPP, similar to Title 42, has been subject to legal challenges. On August 13, 2021, a federal court ordered the Biden ad</w:t>
      </w:r>
      <w:r>
        <w:rPr>
          <w:sz w:val="20"/>
          <w:szCs w:val="20"/>
        </w:rPr>
        <w:t>ministration to reinstate the MPP finding that terminating MPP would be illegal "until the Department of Homeland Security has the capacity and willingness to detain immigrants." On August 24, 2021, the Supreme Court refused to block implementation of that</w:t>
      </w:r>
      <w:r>
        <w:rPr>
          <w:sz w:val="20"/>
          <w:szCs w:val="20"/>
        </w:rPr>
        <w:t xml:space="preserve"> order. On October 29, 2021, Secretary of Homeland Security Alejandro N. Mayorkas issued a memorandum asserting the termination of MPP, which was structured to be implemented if the decision reinstating MPP is vacated. The memorandum also provides that the</w:t>
      </w:r>
      <w:r>
        <w:rPr>
          <w:sz w:val="20"/>
          <w:szCs w:val="20"/>
        </w:rPr>
        <w:t xml:space="preserve"> Biden administration will continue to comply with the injunction requiring the reinstatement and enforcement of MPP until a final judicial decision, if any, to vacate such injunction is issued. In early December 2021, the DHS began the court-ordered re-im</w:t>
      </w:r>
      <w:r>
        <w:rPr>
          <w:sz w:val="20"/>
          <w:szCs w:val="20"/>
        </w:rPr>
        <w:t>plementation of the MPP, and on December 13, 2021, a federal appeals court rejected the Biden administration's attempts to terminate MPP. On December 29, 2021, the Biden administration appealed this decision to the Supreme Court. On April 26, 2022, the Sup</w:t>
      </w:r>
      <w:r>
        <w:rPr>
          <w:sz w:val="20"/>
          <w:szCs w:val="20"/>
        </w:rPr>
        <w:t>reme Court heard arguments on MPP, and on June 30, 2022, the Supreme Court ruled that immigration law gives the federal government the discretion to end MPP. The Supreme Court also indicated that lower courts must now determine whether issuing the memorand</w:t>
      </w:r>
      <w:r>
        <w:rPr>
          <w:sz w:val="20"/>
          <w:szCs w:val="20"/>
        </w:rPr>
        <w:t>um asserting the termination of MPP complied with administrative law, although the Supreme Court found that the order was a proper agency action. On December 13, 2022, a federal judge in Texas ruled that the Biden administration's attempt to end MPP was in</w:t>
      </w:r>
      <w:r>
        <w:rPr>
          <w:sz w:val="20"/>
          <w:szCs w:val="20"/>
        </w:rPr>
        <w:t>valid, stating the Biden administration did not follow the proper administrative procedure in ending the policy. The effect of the ruling remains unclear, as Mexico has not agreed to cooperate with the U.S. to reinstate such practices. The number of people</w:t>
      </w:r>
      <w:r>
        <w:rPr>
          <w:sz w:val="20"/>
          <w:szCs w:val="20"/>
        </w:rPr>
        <w:t xml:space="preserve"> apprehended by ICE could increase if the Biden administration prevails in its efforts to terminate MPP or the Mexican government declines to participate in such a practice</w:t>
      </w:r>
      <w:r>
        <w:rPr>
          <w:sz w:val="20"/>
          <w:szCs w:val="20"/>
        </w:rPr>
        <w:t>.</w:t>
      </w:r>
    </w:p>
    <w:p w:rsidR="00000000" w:rsidRDefault="006D723D">
      <w:pPr>
        <w:pStyle w:val="a3"/>
        <w:spacing w:before="240" w:beforeAutospacing="0" w:after="0" w:afterAutospacing="0"/>
        <w:jc w:val="both"/>
        <w:rPr>
          <w:sz w:val="20"/>
          <w:szCs w:val="20"/>
        </w:rPr>
      </w:pPr>
      <w:r>
        <w:rPr>
          <w:sz w:val="20"/>
          <w:szCs w:val="20"/>
        </w:rPr>
        <w:t>Occupancy in our correctional, detention, and reentry facilities remains depressed</w:t>
      </w:r>
      <w:r>
        <w:rPr>
          <w:sz w:val="20"/>
          <w:szCs w:val="20"/>
        </w:rPr>
        <w:t>, and continues to reflect the impact of COVID-19, including Title 42 and other occupancy restrictions placed by several of our government partners that remained in place during 2022 for most federal facilities. We cannot predict government responses to an</w:t>
      </w:r>
      <w:r>
        <w:rPr>
          <w:sz w:val="20"/>
          <w:szCs w:val="20"/>
        </w:rPr>
        <w:t xml:space="preserve"> increase in staff or residents testing positive for COVID-19 within public and private correctional, detention and reentry facilities, nor can we predict COVID-19 related restrictions on individuals, businesses, and services that disrupt the criminal just</w:t>
      </w:r>
      <w:r>
        <w:rPr>
          <w:sz w:val="20"/>
          <w:szCs w:val="20"/>
        </w:rPr>
        <w:t>ice system. Further, we cannot predict government policies on prosecutions and legal restrictions as a result of COVID-19 that affect the number of people placed in correctional, detention, and reentry facilities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 xml:space="preserve">COVID-19 notwithstanding, we believe the </w:t>
      </w:r>
      <w:r>
        <w:rPr>
          <w:sz w:val="20"/>
          <w:szCs w:val="20"/>
        </w:rPr>
        <w:t>long-term growth opportunities of our business remain attractive as government agencies consider their emergent needs (including capacity to help mitigate the spread of infectious disease), as well as the efficiency and offender programming opportunities w</w:t>
      </w:r>
      <w:r>
        <w:rPr>
          <w:sz w:val="20"/>
          <w:szCs w:val="20"/>
        </w:rPr>
        <w:t>e provide as flexible solutions to satisfy our partners' needs. We have also been in discussions with several state partners that have experienced challenges in staffing their public-sector facilities and are seeking solutions from the private sector. Furt</w:t>
      </w:r>
      <w:r>
        <w:rPr>
          <w:sz w:val="20"/>
          <w:szCs w:val="20"/>
        </w:rPr>
        <w:t>her, although disrupted by the COVID-19 pandemic, several of our existing federal and state partners, as well as prospective state partners, have been experiencing growth in offender populations and overcrowded conditions, as well as an increase in violent</w:t>
      </w:r>
      <w:r>
        <w:rPr>
          <w:sz w:val="20"/>
          <w:szCs w:val="20"/>
        </w:rPr>
        <w:t xml:space="preserve"> crime. Governments are continuing to assess their need for correctional space in light of COVID-19, and several are continuing to consider alternative correctional capacity for their aged or inefficient infrastructure, or are seeking cost savings by utili</w:t>
      </w:r>
      <w:r>
        <w:rPr>
          <w:sz w:val="20"/>
          <w:szCs w:val="20"/>
        </w:rPr>
        <w:t>zing the private sector, which could result in increased future demand for the solutions we provide. For example, in December 2021, the state of Arizona awarded us a new contract for up to 2,706 inmates at our 3,060-bed La Palma Correctional Center in Ariz</w:t>
      </w:r>
      <w:r>
        <w:rPr>
          <w:sz w:val="20"/>
          <w:szCs w:val="20"/>
        </w:rPr>
        <w:t>ona, which commenced in April 2022. We are not aware of a larger prison contract awarded to the private sector by any state in over a decade. In August 2022, we completed the sale of the 1,978-bed McRae Correctional Facility to the Georgia Building Authori</w:t>
      </w:r>
      <w:r>
        <w:rPr>
          <w:sz w:val="20"/>
          <w:szCs w:val="20"/>
        </w:rPr>
        <w:t>ty in order to update its aged and inefficient public sector correctional infrastructure. We had a management contract with the BOP at this facility, which expired on November 30, 2022. In connection with the sale, we entered into an agreement to lease the</w:t>
      </w:r>
      <w:r>
        <w:rPr>
          <w:sz w:val="20"/>
          <w:szCs w:val="20"/>
        </w:rPr>
        <w:t xml:space="preserve"> McRae facility from the Georgia Building Authority through November 30, 2022 to allow us to fulfill our obligations to the BOP. Th</w:t>
      </w:r>
      <w:r>
        <w:rPr>
          <w:sz w:val="20"/>
          <w:szCs w:val="20"/>
        </w:rPr>
        <w:t>e</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6</w:t>
      </w:r>
      <w:r>
        <w:rPr>
          <w:sz w:val="20"/>
          <w:szCs w:val="20"/>
        </w:rPr>
        <w:t>6</w:t>
      </w:r>
    </w:p>
    <w:p w:rsidR="00000000" w:rsidRDefault="006D723D">
      <w:pPr>
        <w:rPr>
          <w:rFonts w:eastAsia="Times New Roman"/>
        </w:rPr>
      </w:pPr>
      <w:r>
        <w:rPr>
          <w:rFonts w:eastAsia="Times New Roman"/>
        </w:rPr>
        <w:pict>
          <v:rect id="_x0000_i1090"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BOP transferred the BOP inmates to alternative federal capacity prior to expiration of the contract, and the McRae Correctional Facility converted to a facility owned and operated by the State of Georgia upon the termi</w:t>
      </w:r>
      <w:r>
        <w:rPr>
          <w:sz w:val="20"/>
          <w:szCs w:val="20"/>
        </w:rPr>
        <w:t>nation of our lease with the Georgia Building Authority</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Governments continue to experience many significant spending demands, and competing budget priorities often impede our customers' ability to construct new prison beds of their own or update their ol</w:t>
      </w:r>
      <w:r>
        <w:rPr>
          <w:sz w:val="20"/>
          <w:szCs w:val="20"/>
        </w:rPr>
        <w:t>der facilities, which we believe could result in further demand for private sector prison capacity solutions in the long-term. We believe the outsourcing of corrections and detention management services to private operators allows governments to manage inc</w:t>
      </w:r>
      <w:r>
        <w:rPr>
          <w:sz w:val="20"/>
          <w:szCs w:val="20"/>
        </w:rPr>
        <w:t>reasing inmate populations while simultaneously controlling costs. We believe our customers discover that partnering with private operators to provide residential services to their offenders introduces competition to their correctional system, resulting in</w:t>
      </w:r>
      <w:r>
        <w:rPr>
          <w:sz w:val="20"/>
          <w:szCs w:val="20"/>
        </w:rPr>
        <w:t xml:space="preserve"> improvements to the quality and cost of services throughout their correctional system. Further, the use of facilities owned and managed by private operators allows governments to expand correctional capacity without incurring large capital commitments and</w:t>
      </w:r>
      <w:r>
        <w:rPr>
          <w:sz w:val="20"/>
          <w:szCs w:val="20"/>
        </w:rPr>
        <w:t xml:space="preserve"> allows them to avoid long-term pension obligations for their employees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We also believe that having beds immediately available to our partners provides us with a distinct competitive advantage when bidding on new contracts. We believe the most significan</w:t>
      </w:r>
      <w:r>
        <w:rPr>
          <w:sz w:val="20"/>
          <w:szCs w:val="20"/>
        </w:rPr>
        <w:t>t opportunities for growth are in providing our government partners with available beds within facilities we currently own or that we will develop. Over the long-term, we would like to see meaningful utilization of our available capacity and better visibil</w:t>
      </w:r>
      <w:r>
        <w:rPr>
          <w:sz w:val="20"/>
          <w:szCs w:val="20"/>
        </w:rPr>
        <w:t>ity from our customers into their potential future needs before we develop new correctional or detention capacity on a speculative basis. We will, however, respond to customer demand and may develop or expand correctional and detention facilities when we b</w:t>
      </w:r>
      <w:r>
        <w:rPr>
          <w:sz w:val="20"/>
          <w:szCs w:val="20"/>
        </w:rPr>
        <w:t>elieve potential long-term returns justify the capital deployment. We also believe that owning the facilities in which we provide management services enables us to more rapidly replace business lost compared with managed-only facilities, since we can offer</w:t>
      </w:r>
      <w:r>
        <w:rPr>
          <w:sz w:val="20"/>
          <w:szCs w:val="20"/>
        </w:rPr>
        <w:t xml:space="preserve"> the same beds to new and existing customers and, with customer consent, may have more flexibility in moving our existing populations to facilities with available capacity. Our management contracts generally provide our customers with the right to terminat</w:t>
      </w:r>
      <w:r>
        <w:rPr>
          <w:sz w:val="20"/>
          <w:szCs w:val="20"/>
        </w:rPr>
        <w:t>e our management contracts at any time without cause</w:t>
      </w:r>
      <w:r>
        <w:rPr>
          <w:sz w:val="20"/>
          <w:szCs w:val="20"/>
        </w:rPr>
        <w:t>.</w:t>
      </w:r>
    </w:p>
    <w:p w:rsidR="00000000" w:rsidRDefault="006D723D">
      <w:pPr>
        <w:pStyle w:val="a3"/>
        <w:spacing w:before="240" w:beforeAutospacing="0" w:after="0" w:afterAutospacing="0"/>
        <w:jc w:val="both"/>
        <w:rPr>
          <w:sz w:val="20"/>
          <w:szCs w:val="20"/>
        </w:rPr>
      </w:pPr>
      <w:r>
        <w:rPr>
          <w:sz w:val="20"/>
          <w:szCs w:val="20"/>
        </w:rPr>
        <w:t>We are actively engaged in marketing our available capacity as solutions to meet the needs of potential customers. Historically, we have been successful in identifying opportunities to utilize our inven</w:t>
      </w:r>
      <w:r>
        <w:rPr>
          <w:sz w:val="20"/>
          <w:szCs w:val="20"/>
        </w:rPr>
        <w:t>tory of available beds and the beds that we have constructed. For example, in the third quarter of 2020, we entered into a new contract under an IGSA between the city of Cushing, Oklahoma and the USMS, to utilize our 1,600-bed Cimarron Correctional Facilit</w:t>
      </w:r>
      <w:r>
        <w:rPr>
          <w:sz w:val="20"/>
          <w:szCs w:val="20"/>
        </w:rPr>
        <w:t>y in Oklahoma. We had previously announced our intention to idle the Cimarron facility during the third quarter of 2020, predominantly due to a lower number of inmate populations from the state of Oklahoma resulting from COVID-19, combined with the consequ</w:t>
      </w:r>
      <w:r>
        <w:rPr>
          <w:sz w:val="20"/>
          <w:szCs w:val="20"/>
        </w:rPr>
        <w:t>ential impact of COVID-19 on the State's budget. The new management contract commenced on September 15, 2020. In the second quarter of 2021, we entered into a new contract with Mahoning County, Ohio to utilize up to 990 beds at our Northeast Ohio Correctio</w:t>
      </w:r>
      <w:r>
        <w:rPr>
          <w:sz w:val="20"/>
          <w:szCs w:val="20"/>
        </w:rPr>
        <w:t>nal Center, and in the third quarter of 2021, we entered into an amended contract with the state of Montana to utilize all of the capacity at our Crossroads Correctional Center, as previously discussed herein. Filling our available beds could provide subst</w:t>
      </w:r>
      <w:r>
        <w:rPr>
          <w:sz w:val="20"/>
          <w:szCs w:val="20"/>
        </w:rPr>
        <w:t xml:space="preserve">antial growth in revenues, cash flow, and earnings per share. However, we can provide no assurance that we will be able to fill our available beds. Our successes have been interrupted by capacity that has become available in both public-sector and private </w:t>
      </w:r>
      <w:r>
        <w:rPr>
          <w:sz w:val="20"/>
          <w:szCs w:val="20"/>
        </w:rPr>
        <w:t>sector facilities during the COVID-19 pandemic, as court systems were disrupted and governments reduced populations to maximize social distancing. However, we believe further opportunities could arise if inmate populations return to pre-pandemic levels, wh</w:t>
      </w:r>
      <w:r>
        <w:rPr>
          <w:sz w:val="20"/>
          <w:szCs w:val="20"/>
        </w:rPr>
        <w:t>ich could occur as the backlog of court cases suspended during the pandemic are processed and operations of criminal justice systems continue to return to pre-COVID-19 operations</w:t>
      </w:r>
      <w:r>
        <w:rPr>
          <w:sz w:val="20"/>
          <w:szCs w:val="20"/>
        </w:rPr>
        <w:t>.</w:t>
      </w:r>
    </w:p>
    <w:p w:rsidR="00000000" w:rsidRDefault="006D723D">
      <w:pPr>
        <w:pStyle w:val="a3"/>
        <w:spacing w:before="240" w:beforeAutospacing="0" w:after="0" w:afterAutospacing="0"/>
        <w:jc w:val="center"/>
        <w:rPr>
          <w:sz w:val="20"/>
          <w:szCs w:val="20"/>
        </w:rPr>
      </w:pPr>
      <w:r>
        <w:rPr>
          <w:sz w:val="20"/>
          <w:szCs w:val="20"/>
        </w:rPr>
        <w:t>6</w:t>
      </w:r>
      <w:r>
        <w:rPr>
          <w:sz w:val="20"/>
          <w:szCs w:val="20"/>
        </w:rPr>
        <w:t>7</w:t>
      </w:r>
    </w:p>
    <w:p w:rsidR="00000000" w:rsidRDefault="006D723D">
      <w:pPr>
        <w:rPr>
          <w:rFonts w:eastAsia="Times New Roman"/>
        </w:rPr>
      </w:pPr>
      <w:r>
        <w:rPr>
          <w:rFonts w:eastAsia="Times New Roman"/>
        </w:rPr>
        <w:pict>
          <v:rect id="_x0000_i1091"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We also offer our customers an att</w:t>
      </w:r>
      <w:r>
        <w:rPr>
          <w:sz w:val="20"/>
          <w:szCs w:val="20"/>
        </w:rPr>
        <w:t>ractive portfolio of correctional, detention, and reentry facilities that can be leased for various needs as an alternative to providing "turn-key" correctional, detention, and residential reentry bed space and services to our government partners. In Septe</w:t>
      </w:r>
      <w:r>
        <w:rPr>
          <w:sz w:val="20"/>
          <w:szCs w:val="20"/>
        </w:rPr>
        <w:t>mber 2021, we announced that we had entered into a three-year lease agreement with the state of New Mexico at our 596-bed Northwest New Mexico Correctional Center. We previously operated the Northwest New Mexico facility in our Safety segment under a contr</w:t>
      </w:r>
      <w:r>
        <w:rPr>
          <w:sz w:val="20"/>
          <w:szCs w:val="20"/>
        </w:rPr>
        <w:t>act with the state of New Mexico. The new lease agreement commenced on November 1, 2021 and includes extension options that could extend the term of the lease through October 31, 2041. We will retain responsibility for facility maintenance throughout the t</w:t>
      </w:r>
      <w:r>
        <w:rPr>
          <w:sz w:val="20"/>
          <w:szCs w:val="20"/>
        </w:rPr>
        <w:t>erm of the lease. The lease of this facility, along with the lease of our 656-bed Southeast Correctional Complex to the Kentucky Department of Corrections, or KYDOC, originating in 2019, the lease of our 2,400-bed North Fork Correctional Facility to the Ok</w:t>
      </w:r>
      <w:r>
        <w:rPr>
          <w:sz w:val="20"/>
          <w:szCs w:val="20"/>
        </w:rPr>
        <w:t xml:space="preserve">lahoma Department of Corrections, or ODOC, originating in 2016 and the lease of our 2,560-bed California City Correctional Center to the California Department of Corrections and Rehabilitation originating in 2013, exemplify our ability to react quickly to </w:t>
      </w:r>
      <w:r>
        <w:rPr>
          <w:sz w:val="20"/>
          <w:szCs w:val="20"/>
        </w:rPr>
        <w:t>our partners' needs with innovative, flexible and cost-effective solutions. We previously operated these four correctional facilities for various state and federal partners. We intend to pursue additional opportunities to lease prison facilities to governm</w:t>
      </w:r>
      <w:r>
        <w:rPr>
          <w:sz w:val="20"/>
          <w:szCs w:val="20"/>
        </w:rPr>
        <w:t>ent and other third-party operators in need of correctional capacity</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In January 2018, we entered into a 20-year lease agreement with the Kansas Department of Corrections, or KDOC, for a 2,432-bed correctional facility to be constructed in Lansing, Kansas</w:t>
      </w:r>
      <w:r>
        <w:rPr>
          <w:sz w:val="20"/>
          <w:szCs w:val="20"/>
        </w:rPr>
        <w:t>. This transaction represented the first development of a privately owned, build-to-suit correctional facility to be operated by a government agency through a long-term lease agreement. We commenced construction of the facility in the first quarter of 2018</w:t>
      </w:r>
      <w:r>
        <w:rPr>
          <w:sz w:val="20"/>
          <w:szCs w:val="20"/>
        </w:rPr>
        <w:t>. In December 2019, the Lansing facility began accepting offenders into the 512-bed minimum security complex ahead of schedule, with the remaining 1,920-bed medium/maximum security complex completed in January 2020. The new facility replaced the Lansing Co</w:t>
      </w:r>
      <w:r>
        <w:rPr>
          <w:sz w:val="20"/>
          <w:szCs w:val="20"/>
        </w:rPr>
        <w:t>rrectional Facility, Kansas' largest correctional complex for adult male inmates, originally constructed in 1863. We are responsible for facility maintenance throughout the 20-year term of the lease, at which time ownership will revert to the state of Kans</w:t>
      </w:r>
      <w:r>
        <w:rPr>
          <w:sz w:val="20"/>
          <w:szCs w:val="20"/>
        </w:rPr>
        <w:t>as. We believe we can bring solutions like this to other government agencies in need of new correctional capacity</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 xml:space="preserve">We also remain steadfast in our efforts to contain costs. Approximately 59% of our operating expenses consist of salaries and benefits. The </w:t>
      </w:r>
      <w:r>
        <w:rPr>
          <w:sz w:val="20"/>
          <w:szCs w:val="20"/>
        </w:rPr>
        <w:t>turnover rate for correctional officers for our company, and for the corrections industry in general, remains high, and staffing challenges have recently been exacerbated by labor shortages and wage pressures in the marketplace as further described under t</w:t>
      </w:r>
      <w:r>
        <w:rPr>
          <w:sz w:val="20"/>
          <w:szCs w:val="20"/>
        </w:rPr>
        <w:t>he heading "Results of Operations." We are making investments in systems and processes intended to help manage our workforce more efficiently and effectively, especially with respect to overtime and costs of turnover. We are also focused on workers' compen</w:t>
      </w:r>
      <w:r>
        <w:rPr>
          <w:sz w:val="20"/>
          <w:szCs w:val="20"/>
        </w:rPr>
        <w:t>sation and medical benefits costs for our employees due to continued rising healthcare costs throughout the country. Effectively managing these staffing costs requires a long-term strategy to control such costs, and we continue to dedicate resources to enh</w:t>
      </w:r>
      <w:r>
        <w:rPr>
          <w:sz w:val="20"/>
          <w:szCs w:val="20"/>
        </w:rPr>
        <w:t>ance our benefits and provide specialized training and career development opportunities to our staff in order to attract and retain quality personnel. Finally, we are evaluating potential cost savings opportunities in areas such as inmate medical expenses,</w:t>
      </w:r>
      <w:r>
        <w:rPr>
          <w:sz w:val="20"/>
          <w:szCs w:val="20"/>
        </w:rPr>
        <w:t xml:space="preserve"> utilities, and maintenance, among others. Through ongoing company-wide initiatives, we continue to focus on efforts to manage costs and improve operating efficiencies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Through the combination of our operational initiatives to (i) provide valuable and cri</w:t>
      </w:r>
      <w:r>
        <w:rPr>
          <w:sz w:val="20"/>
          <w:szCs w:val="20"/>
        </w:rPr>
        <w:t>tically needed services that could increase our revenues and increase the utilization of our available beds, (ii) deliver new bed capacity through new facility construction and expansion opportunities, (iii) expand our real estate-only solutions, (iv) grow</w:t>
      </w:r>
      <w:r>
        <w:rPr>
          <w:sz w:val="20"/>
          <w:szCs w:val="20"/>
        </w:rPr>
        <w:t xml:space="preserve"> the utilization of our community corrections facilities, (v) develop or acquire new business offerings that expand the range of solutions we provide to government partners and diversify our cash flows, and (vi) contain our operating expenses, we believe w</w:t>
      </w:r>
      <w:r>
        <w:rPr>
          <w:sz w:val="20"/>
          <w:szCs w:val="20"/>
        </w:rPr>
        <w:t>e will be able to maintain our competitive advantage and continue to diversify the range of services we provide to our customers at an attractive price, thereby producing value for our stockholders. As further explained under the heading "Liquidity and Cap</w:t>
      </w:r>
      <w:r>
        <w:rPr>
          <w:sz w:val="20"/>
          <w:szCs w:val="20"/>
        </w:rPr>
        <w:t>ital Resources," through the revocation of our REIT election and revised capital allocation strategy, following our first priority of reducing debt, we expect to allocate a substantial portion of our free cash flow to returning capital to stockholders, fur</w:t>
      </w:r>
      <w:r>
        <w:rPr>
          <w:sz w:val="20"/>
          <w:szCs w:val="20"/>
        </w:rPr>
        <w:t>ther enhancing stockholder value</w:t>
      </w:r>
      <w:r>
        <w:rPr>
          <w:sz w:val="20"/>
          <w:szCs w:val="20"/>
        </w:rPr>
        <w:t>.</w:t>
      </w:r>
    </w:p>
    <w:p w:rsidR="00000000" w:rsidRDefault="006D723D">
      <w:pPr>
        <w:pStyle w:val="a3"/>
        <w:spacing w:before="240" w:beforeAutospacing="0" w:after="0" w:afterAutospacing="0"/>
        <w:jc w:val="center"/>
        <w:rPr>
          <w:sz w:val="20"/>
          <w:szCs w:val="20"/>
        </w:rPr>
      </w:pPr>
      <w:r>
        <w:rPr>
          <w:sz w:val="20"/>
          <w:szCs w:val="20"/>
        </w:rPr>
        <w:t>6</w:t>
      </w:r>
      <w:r>
        <w:rPr>
          <w:sz w:val="20"/>
          <w:szCs w:val="20"/>
        </w:rPr>
        <w:t>8</w:t>
      </w:r>
    </w:p>
    <w:p w:rsidR="00000000" w:rsidRDefault="006D723D">
      <w:pPr>
        <w:rPr>
          <w:rFonts w:eastAsia="Times New Roman"/>
        </w:rPr>
      </w:pPr>
      <w:r>
        <w:rPr>
          <w:rFonts w:eastAsia="Times New Roman"/>
        </w:rPr>
        <w:pict>
          <v:rect id="_x0000_i1092"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360" w:beforeAutospacing="0" w:after="0" w:afterAutospacing="0"/>
        <w:jc w:val="both"/>
        <w:rPr>
          <w:sz w:val="20"/>
          <w:szCs w:val="20"/>
        </w:rPr>
      </w:pPr>
      <w:r>
        <w:rPr>
          <w:b/>
          <w:bCs/>
          <w:sz w:val="20"/>
          <w:szCs w:val="20"/>
        </w:rPr>
        <w:t>CRITICAL ACCOU</w:t>
      </w:r>
      <w:r>
        <w:rPr>
          <w:b/>
          <w:bCs/>
          <w:sz w:val="20"/>
          <w:szCs w:val="20"/>
        </w:rPr>
        <w:t>N</w:t>
      </w:r>
      <w:r>
        <w:rPr>
          <w:b/>
          <w:bCs/>
          <w:sz w:val="20"/>
          <w:szCs w:val="20"/>
        </w:rPr>
        <w:t>TING POLICIES AND ESTIMATE</w:t>
      </w:r>
      <w:r>
        <w:rPr>
          <w:b/>
          <w:bCs/>
          <w:sz w:val="20"/>
          <w:szCs w:val="20"/>
        </w:rPr>
        <w:t>S</w:t>
      </w:r>
    </w:p>
    <w:p w:rsidR="00000000" w:rsidRDefault="006D723D">
      <w:pPr>
        <w:pStyle w:val="a3"/>
        <w:spacing w:before="120" w:beforeAutospacing="0" w:after="0" w:afterAutospacing="0"/>
        <w:jc w:val="both"/>
        <w:rPr>
          <w:sz w:val="20"/>
          <w:szCs w:val="20"/>
        </w:rPr>
      </w:pPr>
      <w:r>
        <w:rPr>
          <w:sz w:val="20"/>
          <w:szCs w:val="20"/>
        </w:rPr>
        <w:t>The consolidated financial statements in this report are prepared in conformity with U.S. generally accepted accounting principles, or GA</w:t>
      </w:r>
      <w:r>
        <w:rPr>
          <w:sz w:val="20"/>
          <w:szCs w:val="20"/>
        </w:rPr>
        <w:t>AP. As such, we are required to make certain estimates, judgments, and assumptions that we believe are reasonable based upon the information available. These estimates and assumptions affect the reported amounts of assets and liabilities at the date of the</w:t>
      </w:r>
      <w:r>
        <w:rPr>
          <w:sz w:val="20"/>
          <w:szCs w:val="20"/>
        </w:rPr>
        <w:t xml:space="preserve"> consolidated financial statements and the reported amounts of revenue and expenses during the reporting period. A summary of our significant accounting policies is described in Note 2 of the Notes to the Consolidated Financial Statements contained in this</w:t>
      </w:r>
      <w:r>
        <w:rPr>
          <w:sz w:val="20"/>
          <w:szCs w:val="20"/>
        </w:rPr>
        <w:t xml:space="preserve"> Annual Report. The significant accounting policies and estimates which we believe are the most critical to aid in fully understanding and evaluating our reported financial results include the following</w:t>
      </w:r>
      <w:r>
        <w:rPr>
          <w:sz w:val="20"/>
          <w:szCs w:val="20"/>
        </w:rPr>
        <w:t>:</w:t>
      </w:r>
    </w:p>
    <w:p w:rsidR="00000000" w:rsidRDefault="006D723D">
      <w:pPr>
        <w:pStyle w:val="a3"/>
        <w:spacing w:before="240" w:beforeAutospacing="0" w:after="0" w:afterAutospacing="0"/>
        <w:jc w:val="both"/>
        <w:rPr>
          <w:sz w:val="20"/>
          <w:szCs w:val="20"/>
        </w:rPr>
      </w:pPr>
      <w:r>
        <w:rPr>
          <w:i/>
          <w:iCs/>
          <w:sz w:val="20"/>
          <w:szCs w:val="20"/>
        </w:rPr>
        <w:t>Asset impairments</w:t>
      </w:r>
      <w:r>
        <w:rPr>
          <w:i/>
          <w:iCs/>
          <w:sz w:val="20"/>
          <w:szCs w:val="20"/>
        </w:rPr>
        <w:t>.</w:t>
      </w:r>
      <w:r>
        <w:rPr>
          <w:sz w:val="20"/>
          <w:szCs w:val="20"/>
        </w:rPr>
        <w:t xml:space="preserve"> </w:t>
      </w:r>
      <w:r>
        <w:rPr>
          <w:sz w:val="20"/>
          <w:szCs w:val="20"/>
        </w:rPr>
        <w:t>The primary risk we face for asset impairment charges is associated with facilities we own. As of December 31, 2022, we had $2.2 billion in property and equipment, including $195.6 million in long-lived assets at seven idled CoreCivic Safety correctional f</w:t>
      </w:r>
      <w:r>
        <w:rPr>
          <w:sz w:val="20"/>
          <w:szCs w:val="20"/>
        </w:rPr>
        <w:t>acilities. The carrying values of the seven idled facilities as of December 31, 2022 were as follows (in thousands)</w:t>
      </w:r>
      <w:r>
        <w:rPr>
          <w:sz w:val="20"/>
          <w:szCs w:val="20"/>
        </w:rPr>
        <w:t>:</w:t>
      </w:r>
    </w:p>
    <w:p w:rsidR="00000000" w:rsidRDefault="006D723D">
      <w:pPr>
        <w:pStyle w:val="a3"/>
        <w:spacing w:before="0" w:beforeAutospacing="0" w:after="0" w:afterAutospacing="0"/>
        <w:jc w:val="both"/>
        <w:rPr>
          <w:sz w:val="20"/>
          <w:szCs w:val="20"/>
        </w:rPr>
      </w:pP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861"/>
        <w:gridCol w:w="110"/>
        <w:gridCol w:w="160"/>
        <w:gridCol w:w="728"/>
        <w:gridCol w:w="125"/>
      </w:tblGrid>
      <w:tr w:rsidR="00000000">
        <w:trPr>
          <w:tblCellSpacing w:w="15" w:type="dxa"/>
        </w:trPr>
        <w:tc>
          <w:tcPr>
            <w:tcW w:w="4009" w:type="pct"/>
            <w:vAlign w:val="center"/>
            <w:hideMark/>
          </w:tcPr>
          <w:p w:rsidR="00000000" w:rsidRDefault="006D723D">
            <w:pPr>
              <w:rPr>
                <w:sz w:val="20"/>
                <w:szCs w:val="20"/>
              </w:rPr>
            </w:pPr>
          </w:p>
        </w:tc>
        <w:tc>
          <w:tcPr>
            <w:tcW w:w="9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79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Prairie Correctional Facilit</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14,16</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Huerfano County Correctional Cente</w:t>
            </w:r>
            <w:r>
              <w:rPr>
                <w:sz w:val="20"/>
                <w:szCs w:val="20"/>
              </w:rPr>
              <w:t>r</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14,58</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Diamondback Correctional Facilit</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35,58</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Marion Adjustment Cente</w:t>
            </w:r>
            <w:r>
              <w:rPr>
                <w:sz w:val="20"/>
                <w:szCs w:val="20"/>
              </w:rPr>
              <w:t>r</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10,32</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Kit Carson Correctional Cente</w:t>
            </w:r>
            <w:r>
              <w:rPr>
                <w:sz w:val="20"/>
                <w:szCs w:val="20"/>
              </w:rPr>
              <w:t>r</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49,44</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sz w:val="20"/>
                <w:szCs w:val="20"/>
              </w:rPr>
              <w:t>West Tennessee Detention Facilit</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19,58</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sz w:val="20"/>
                <w:szCs w:val="20"/>
              </w:rPr>
              <w:t>Midwest Regional Reception Cente</w:t>
            </w:r>
            <w:r>
              <w:rPr>
                <w:sz w:val="20"/>
                <w:szCs w:val="20"/>
              </w:rPr>
              <w:t>r</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51,93</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195,62</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bl>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0" w:beforeAutospacing="0" w:after="0" w:afterAutospacing="0"/>
        <w:jc w:val="both"/>
        <w:rPr>
          <w:sz w:val="20"/>
          <w:szCs w:val="20"/>
        </w:rPr>
      </w:pPr>
      <w:r>
        <w:rPr>
          <w:sz w:val="20"/>
          <w:szCs w:val="20"/>
        </w:rPr>
        <w:t>As of December 31, 2022, we also had one idled non-core facility in our Safety segment containing 240 beds with a total net book value of $3.0 million, and two idled facilities in our Community segment, containing an aggregate of 450 beds with an aggregate</w:t>
      </w:r>
      <w:r>
        <w:rPr>
          <w:sz w:val="20"/>
          <w:szCs w:val="20"/>
        </w:rPr>
        <w:t xml:space="preserve"> net book value of $3.5 million, one of which was classified as held for sale as of December 31, 2022</w:t>
      </w:r>
      <w:r>
        <w:rPr>
          <w:sz w:val="20"/>
          <w:szCs w:val="20"/>
        </w:rPr>
        <w:t>.</w:t>
      </w:r>
      <w:r>
        <w:rPr>
          <w:sz w:val="20"/>
          <w:szCs w:val="20"/>
        </w:rPr>
        <w:t xml:space="preserve"> </w:t>
      </w:r>
    </w:p>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0" w:beforeAutospacing="0" w:after="0" w:afterAutospacing="0"/>
        <w:jc w:val="both"/>
        <w:rPr>
          <w:sz w:val="20"/>
          <w:szCs w:val="20"/>
        </w:rPr>
      </w:pPr>
      <w:r>
        <w:rPr>
          <w:sz w:val="20"/>
          <w:szCs w:val="20"/>
        </w:rPr>
        <w:t>We incurred operating expenses at these idled facilities of approximately $9.7 million, $7.6 million, and $7.3 million during the period they were idl</w:t>
      </w:r>
      <w:r>
        <w:rPr>
          <w:sz w:val="20"/>
          <w:szCs w:val="20"/>
        </w:rPr>
        <w:t>e for the years ended December 31, 2022, 2021, and 2020, respectively. The amount for 2021 excludes $2.2 million of operating expenses incurred at our West Tennessee Detention Facility during the fourth quarter of 2021. The amount for 2022 excludes $3.5 mi</w:t>
      </w:r>
      <w:r>
        <w:rPr>
          <w:sz w:val="20"/>
          <w:szCs w:val="20"/>
        </w:rPr>
        <w:t>llion of operating expenses incurred at the West Tennessee Detention Facility and the Midwest Regional Reception Center (formerly known as the Leavenworth Detention Center) during the three months ended March 31, 2022. The West Tennessee facility was idled</w:t>
      </w:r>
      <w:r>
        <w:rPr>
          <w:sz w:val="20"/>
          <w:szCs w:val="20"/>
        </w:rPr>
        <w:t xml:space="preserve"> upon the expiration of a USMS contract on September 30, 2021, and the Midwest Regional Reception Center was idled upon the expiration of a USMS contract on December 31, 2021. We retained a certain staffing level at both facilities through the first three </w:t>
      </w:r>
      <w:r>
        <w:rPr>
          <w:sz w:val="20"/>
          <w:szCs w:val="20"/>
        </w:rPr>
        <w:t xml:space="preserve">months of 2022 in order to quickly respond in the event we were able to enter into new contracts with government agencies promptly following the contract expirations. We also continued to incur expenses related to transportation services provided by staff </w:t>
      </w:r>
      <w:r>
        <w:rPr>
          <w:sz w:val="20"/>
          <w:szCs w:val="20"/>
        </w:rPr>
        <w:t>at the Midwest Regional Reception Center during the first three months of 2022</w:t>
      </w:r>
      <w:r>
        <w:rPr>
          <w:sz w:val="20"/>
          <w:szCs w:val="20"/>
        </w:rPr>
        <w:t>.</w:t>
      </w:r>
    </w:p>
    <w:p w:rsidR="00000000" w:rsidRDefault="006D723D">
      <w:pPr>
        <w:pStyle w:val="a3"/>
        <w:spacing w:before="120" w:beforeAutospacing="0" w:after="0" w:afterAutospacing="0"/>
        <w:jc w:val="both"/>
        <w:rPr>
          <w:sz w:val="20"/>
          <w:szCs w:val="20"/>
        </w:rPr>
      </w:pPr>
      <w:r>
        <w:rPr>
          <w:sz w:val="20"/>
          <w:szCs w:val="20"/>
        </w:rPr>
        <w:t>Pursuant to an agreement to sell our 60-bed Columbine Facility, in the fourth quarter of 2022, we recognized an impairment charge of $0.7 million associated with this facility,</w:t>
      </w:r>
      <w:r>
        <w:rPr>
          <w:sz w:val="20"/>
          <w:szCs w:val="20"/>
        </w:rPr>
        <w:t xml:space="preserve"> based on its fair value less costs to sell</w:t>
      </w:r>
      <w:r>
        <w:rPr>
          <w:sz w:val="20"/>
          <w:szCs w:val="20"/>
        </w:rPr>
        <w:t>.</w:t>
      </w:r>
    </w:p>
    <w:p w:rsidR="00000000" w:rsidRDefault="006D723D">
      <w:pPr>
        <w:pStyle w:val="a3"/>
        <w:spacing w:before="120" w:beforeAutospacing="0" w:after="0" w:afterAutospacing="0"/>
        <w:jc w:val="both"/>
        <w:rPr>
          <w:sz w:val="20"/>
          <w:szCs w:val="20"/>
        </w:rPr>
      </w:pPr>
      <w:r>
        <w:rPr>
          <w:sz w:val="20"/>
          <w:szCs w:val="20"/>
        </w:rPr>
        <w:t>We evaluate the recoverability of the carrying values of our long-lived assets, other than goodwill, when events suggest that an impairment may have occurred. Such events primarily include, but are not limited t</w:t>
      </w:r>
      <w:r>
        <w:rPr>
          <w:sz w:val="20"/>
          <w:szCs w:val="20"/>
        </w:rPr>
        <w:t>o, the termination of a management contract, a significant decrease in populations within a facility we own in our Safety and Community segments that we believe will be longer than short-term, and the expiration and non-renewal of lease agreements in our P</w:t>
      </w:r>
      <w:r>
        <w:rPr>
          <w:sz w:val="20"/>
          <w:szCs w:val="20"/>
        </w:rPr>
        <w:t>roperties segment</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We perform the impairment analyses for each of our idle facilities as well as any other properties with indicators of impairment. Our estimates of recoverability are based on projected undiscounted cash flows that are comparable to historical cash flows fr</w:t>
      </w:r>
      <w:r>
        <w:rPr>
          <w:sz w:val="20"/>
          <w:szCs w:val="20"/>
        </w:rPr>
        <w:t>om management contracts or lease agreements at facilities similar to the idled facilities, including historical operations for the idled facilities when such facilities were operating. Our undiscounted cash flows factor in assumptions around when idle faci</w:t>
      </w:r>
      <w:r>
        <w:rPr>
          <w:sz w:val="20"/>
          <w:szCs w:val="20"/>
        </w:rPr>
        <w:t>lities will commence generating revenues based on our best estimate</w:t>
      </w:r>
      <w:r>
        <w:rPr>
          <w:sz w:val="20"/>
          <w:szCs w:val="20"/>
        </w:rPr>
        <w:t>s</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6</w:t>
      </w:r>
      <w:r>
        <w:rPr>
          <w:sz w:val="20"/>
          <w:szCs w:val="20"/>
        </w:rPr>
        <w:t>9</w:t>
      </w:r>
    </w:p>
    <w:p w:rsidR="00000000" w:rsidRDefault="006D723D">
      <w:pPr>
        <w:rPr>
          <w:rFonts w:eastAsia="Times New Roman"/>
        </w:rPr>
      </w:pPr>
      <w:r>
        <w:rPr>
          <w:rFonts w:eastAsia="Times New Roman"/>
        </w:rPr>
        <w:pict>
          <v:rect id="_x0000_i1093"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around contract negotiations and market conditions. Our impairment evaluations also take into consideration our historical experience in securin</w:t>
      </w:r>
      <w:r>
        <w:rPr>
          <w:sz w:val="20"/>
          <w:szCs w:val="20"/>
        </w:rPr>
        <w:t>g new management contracts to utilize correctional facilities that had been previously idled for substantial periods of time. Such previously idled correctional facilities are currently being operated under contracts that continue to generate cash flows re</w:t>
      </w:r>
      <w:r>
        <w:rPr>
          <w:sz w:val="20"/>
          <w:szCs w:val="20"/>
        </w:rPr>
        <w:t>sulting in the recoverability of the net book value of the previously idled facilities by material amounts. We also perform sensitivity analyses that consider reductions to such cash flows. Our sensitivity analyses include reductions in projected cash flow</w:t>
      </w:r>
      <w:r>
        <w:rPr>
          <w:sz w:val="20"/>
          <w:szCs w:val="20"/>
        </w:rPr>
        <w:t>s compared to historical cash flows generated by the respective facility as well as prolonged periods of vacancies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We also evaluate on a quarterly basis market developments for the potential utilization of each of our idle facilities in order to identify</w:t>
      </w:r>
      <w:r>
        <w:rPr>
          <w:sz w:val="20"/>
          <w:szCs w:val="20"/>
        </w:rPr>
        <w:t xml:space="preserve"> events that may cause us to reconsider our most recent assumptions. Such events could include negotiations with a prospective customer for the utilization of an idle facility at terms significantly less favorable than those used in our most recent impairm</w:t>
      </w:r>
      <w:r>
        <w:rPr>
          <w:sz w:val="20"/>
          <w:szCs w:val="20"/>
        </w:rPr>
        <w:t>ent analysis, or changes in legislation surrounding a particular facility that could impact our ability to care for certain types of populations at such facility, or a demolition or substantial renovation of a facility. Further, a substantial increase in t</w:t>
      </w:r>
      <w:r>
        <w:rPr>
          <w:sz w:val="20"/>
          <w:szCs w:val="20"/>
        </w:rPr>
        <w:t>he number of available beds at other facilities we own could lead to a deterioration in market conditions and cash flows that we might be able to obtain under a new contract at our idle facilities. Although they are not frequent, an unsolicited offer to pu</w:t>
      </w:r>
      <w:r>
        <w:rPr>
          <w:sz w:val="20"/>
          <w:szCs w:val="20"/>
        </w:rPr>
        <w:t>rchase any of our idle facilities at amounts that are less than the carrying value could also cause us to reconsider the assumptions used in our most recent impairment analysis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We can provide no assurance that we will be able to secure agreements to util</w:t>
      </w:r>
      <w:r>
        <w:rPr>
          <w:sz w:val="20"/>
          <w:szCs w:val="20"/>
        </w:rPr>
        <w:t>ize our idle properties, or that we will not incur impairment charges in the future. By their nature, these estimates contain uncertainties with respect to the extent and timing of the respective cash flows due to potential delays or material changes to hi</w:t>
      </w:r>
      <w:r>
        <w:rPr>
          <w:sz w:val="20"/>
          <w:szCs w:val="20"/>
        </w:rPr>
        <w:t>storical terms and conditions in contracts with prospective customers that could impact the estimate of cash flows. With respect to idle correctional facilities, we believe the long-term trends favor an increase in the utilization of our correctional facil</w:t>
      </w:r>
      <w:r>
        <w:rPr>
          <w:sz w:val="20"/>
          <w:szCs w:val="20"/>
        </w:rPr>
        <w:t>ities and management services. This belief is based on our experience in working with governmental agencies faced with significant budgetary challenges, which is a primary contributing factor to the lack of appropriated funding over the past decade to buil</w:t>
      </w:r>
      <w:r>
        <w:rPr>
          <w:sz w:val="20"/>
          <w:szCs w:val="20"/>
        </w:rPr>
        <w:t>d new bed capacity by the federal and state governments with which we partner, as well as the extensively aged criminal justice infrastructure in the U.S. today. Due to a variety of factors, the lead time to negotiate contracts with our federal and state p</w:t>
      </w:r>
      <w:r>
        <w:rPr>
          <w:sz w:val="20"/>
          <w:szCs w:val="20"/>
        </w:rPr>
        <w:t>artners to utilize idle bed capacity at correctional facilities is generally lengthy</w:t>
      </w:r>
      <w:r>
        <w:rPr>
          <w:sz w:val="20"/>
          <w:szCs w:val="20"/>
        </w:rPr>
        <w:t>.</w:t>
      </w:r>
    </w:p>
    <w:p w:rsidR="00000000" w:rsidRDefault="006D723D">
      <w:pPr>
        <w:pStyle w:val="a3"/>
        <w:spacing w:before="240" w:beforeAutospacing="0" w:after="0" w:afterAutospacing="0"/>
        <w:jc w:val="both"/>
        <w:rPr>
          <w:sz w:val="20"/>
          <w:szCs w:val="20"/>
        </w:rPr>
      </w:pPr>
      <w:r>
        <w:rPr>
          <w:i/>
          <w:iCs/>
          <w:sz w:val="20"/>
          <w:szCs w:val="20"/>
        </w:rPr>
        <w:t>Self-funded insurance reserve</w:t>
      </w:r>
      <w:r>
        <w:rPr>
          <w:i/>
          <w:iCs/>
          <w:sz w:val="20"/>
          <w:szCs w:val="20"/>
        </w:rPr>
        <w:t>s</w:t>
      </w:r>
      <w:r>
        <w:rPr>
          <w:sz w:val="20"/>
          <w:szCs w:val="20"/>
        </w:rPr>
        <w:t>. As of December 31, 2022 and 2021, we had $49.7 million and $47.3 million, respectively, in accrued liabilities for employee health, worker</w:t>
      </w:r>
      <w:r>
        <w:rPr>
          <w:sz w:val="20"/>
          <w:szCs w:val="20"/>
        </w:rPr>
        <w:t>s' compensation, and automobile insurance claims. We are self-insured for employee health, workers' compensation, and automobile liability insurance claims. As such, our insurance expense is largely dependent on claims experience and our ability to control</w:t>
      </w:r>
      <w:r>
        <w:rPr>
          <w:sz w:val="20"/>
          <w:szCs w:val="20"/>
        </w:rPr>
        <w:t xml:space="preserve"> our claims. We have consistently accrued the estimated liability for employee health insurance claims based on our history of claims experience and the estimated time lag between the incident date and the date we pay the claims. We have accrued the estima</w:t>
      </w:r>
      <w:r>
        <w:rPr>
          <w:sz w:val="20"/>
          <w:szCs w:val="20"/>
        </w:rPr>
        <w:t>ted liability for workers' compensation claims based on an actuarial valuation of the outstanding liabilities using a combination of actuarial methods used to project ultimate losses, and our automobile insurance claims based on estimated development facto</w:t>
      </w:r>
      <w:r>
        <w:rPr>
          <w:sz w:val="20"/>
          <w:szCs w:val="20"/>
        </w:rPr>
        <w:t>rs on claims incurred. The liability for employee health, workers' compensation, and automobile insurance includes estimates for both claims incurred and for claims incurred but not reported. In recent history, our methods for determining our exposure have</w:t>
      </w:r>
      <w:r>
        <w:rPr>
          <w:sz w:val="20"/>
          <w:szCs w:val="20"/>
        </w:rPr>
        <w:t xml:space="preserve"> remained consistent, and our historical trends have been appropriately factored into our estimates and reserves. As we obtain additional information and refine our methods regarding the assumptions and estimates we use to recognize liabilities incurred, w</w:t>
      </w:r>
      <w:r>
        <w:rPr>
          <w:sz w:val="20"/>
          <w:szCs w:val="20"/>
        </w:rPr>
        <w:t>e will adjust our reserves accordingly. Arriving at these estimates, however, requires a significant amount of subjective judgment by management, and as a result these estimates are uncertain, and our actual exposure may be different from our estimates. It</w:t>
      </w:r>
      <w:r>
        <w:rPr>
          <w:sz w:val="20"/>
          <w:szCs w:val="20"/>
        </w:rPr>
        <w:t xml:space="preserve"> is possible that future cash flows and results of operations could be materially affected by changes in our assumptions, new developments, or by the effectiveness of our strategies</w:t>
      </w:r>
      <w:r>
        <w:rPr>
          <w:sz w:val="20"/>
          <w:szCs w:val="20"/>
        </w:rPr>
        <w:t>.</w:t>
      </w:r>
    </w:p>
    <w:p w:rsidR="00000000" w:rsidRDefault="006D723D">
      <w:pPr>
        <w:pStyle w:val="a3"/>
        <w:spacing w:before="240" w:beforeAutospacing="0" w:after="0" w:afterAutospacing="0"/>
        <w:jc w:val="center"/>
        <w:rPr>
          <w:sz w:val="20"/>
          <w:szCs w:val="20"/>
        </w:rPr>
      </w:pPr>
      <w:r>
        <w:rPr>
          <w:sz w:val="20"/>
          <w:szCs w:val="20"/>
        </w:rPr>
        <w:t>7</w:t>
      </w:r>
      <w:r>
        <w:rPr>
          <w:sz w:val="20"/>
          <w:szCs w:val="20"/>
        </w:rPr>
        <w:t>0</w:t>
      </w:r>
    </w:p>
    <w:p w:rsidR="00000000" w:rsidRDefault="006D723D">
      <w:pPr>
        <w:rPr>
          <w:rFonts w:eastAsia="Times New Roman"/>
        </w:rPr>
      </w:pPr>
      <w:r>
        <w:rPr>
          <w:rFonts w:eastAsia="Times New Roman"/>
        </w:rPr>
        <w:pict>
          <v:rect id="_x0000_i1094"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i/>
          <w:iCs/>
          <w:sz w:val="20"/>
          <w:szCs w:val="20"/>
        </w:rPr>
        <w:t>Legal reserves</w:t>
      </w:r>
      <w:r>
        <w:rPr>
          <w:i/>
          <w:iCs/>
          <w:sz w:val="20"/>
          <w:szCs w:val="20"/>
        </w:rPr>
        <w:t>.</w:t>
      </w:r>
      <w:r>
        <w:rPr>
          <w:sz w:val="20"/>
          <w:szCs w:val="20"/>
        </w:rPr>
        <w:t xml:space="preserve"> As of December 3</w:t>
      </w:r>
      <w:r>
        <w:rPr>
          <w:sz w:val="20"/>
          <w:szCs w:val="20"/>
        </w:rPr>
        <w:t xml:space="preserve">1, 2022 and 2021, we had $6.9 million and $6.8 million, respectively, in accrued liabilities under the provisions of Accounting Standards Codification, or ASC, Subtopic 450-20, "Loss Contingencies," related to certain claims and legal proceedings in which </w:t>
      </w:r>
      <w:r>
        <w:rPr>
          <w:sz w:val="20"/>
          <w:szCs w:val="20"/>
        </w:rPr>
        <w:t>we are involved. We have accrued our best estimate of the probable costs for the resolution of these claims, if estimable. In addition, we are subject to current and potential future claims and legal proceedings for which little or no accrual has been refl</w:t>
      </w:r>
      <w:r>
        <w:rPr>
          <w:sz w:val="20"/>
          <w:szCs w:val="20"/>
        </w:rPr>
        <w:t>ected because our current assessment of the potential exposure is nominal, or because we cannot reasonably estimate the amount of loss or range of loss, if any, that may result. These estimates have been developed in consultation with our General Counsel's</w:t>
      </w:r>
      <w:r>
        <w:rPr>
          <w:sz w:val="20"/>
          <w:szCs w:val="20"/>
        </w:rPr>
        <w:t xml:space="preserve"> office and, as appropriate, outside counsel handling these matters, and are based upon an analysis of potential results, assuming a combination of litigation and settlement strategies. It is possible that future cash flows and results of operations could </w:t>
      </w:r>
      <w:r>
        <w:rPr>
          <w:sz w:val="20"/>
          <w:szCs w:val="20"/>
        </w:rPr>
        <w:t>be materially affected by changes in our assumptions, new developments, or by the effectiveness of our litigation and settlement strategies</w:t>
      </w:r>
      <w:r>
        <w:rPr>
          <w:sz w:val="20"/>
          <w:szCs w:val="20"/>
        </w:rPr>
        <w:t>.</w:t>
      </w:r>
    </w:p>
    <w:p w:rsidR="00000000" w:rsidRDefault="006D723D">
      <w:pPr>
        <w:pStyle w:val="a3"/>
        <w:spacing w:before="240" w:beforeAutospacing="0" w:after="0" w:afterAutospacing="0"/>
        <w:jc w:val="both"/>
        <w:rPr>
          <w:sz w:val="20"/>
          <w:szCs w:val="20"/>
        </w:rPr>
      </w:pPr>
      <w:r>
        <w:rPr>
          <w:b/>
          <w:bCs/>
          <w:sz w:val="20"/>
          <w:szCs w:val="20"/>
        </w:rPr>
        <w:t>R</w:t>
      </w:r>
      <w:r>
        <w:rPr>
          <w:b/>
          <w:bCs/>
          <w:sz w:val="20"/>
          <w:szCs w:val="20"/>
        </w:rPr>
        <w:t>E</w:t>
      </w:r>
      <w:r>
        <w:rPr>
          <w:b/>
          <w:bCs/>
          <w:sz w:val="20"/>
          <w:szCs w:val="20"/>
        </w:rPr>
        <w:t>SULTS OF OPERATION</w:t>
      </w:r>
      <w:r>
        <w:rPr>
          <w:b/>
          <w:bCs/>
          <w:sz w:val="20"/>
          <w:szCs w:val="20"/>
        </w:rPr>
        <w:t>S</w:t>
      </w:r>
    </w:p>
    <w:p w:rsidR="00000000" w:rsidRDefault="006D723D">
      <w:pPr>
        <w:pStyle w:val="a3"/>
        <w:spacing w:before="120" w:beforeAutospacing="0" w:after="0" w:afterAutospacing="0"/>
        <w:jc w:val="both"/>
        <w:rPr>
          <w:sz w:val="20"/>
          <w:szCs w:val="20"/>
        </w:rPr>
      </w:pPr>
      <w:r>
        <w:rPr>
          <w:sz w:val="20"/>
          <w:szCs w:val="20"/>
        </w:rPr>
        <w:t>Our results of operations are impacted by the number of correctional and detention facilities</w:t>
      </w:r>
      <w:r>
        <w:rPr>
          <w:sz w:val="20"/>
          <w:szCs w:val="20"/>
        </w:rPr>
        <w:t xml:space="preserve"> we operated, including 40 we owned and four owned by our government partners (CoreCivic Safety), the number of residential reentry centers we owned and operated (CoreCivic Community), the number of facilities we leased to other operators (CoreCivic Proper</w:t>
      </w:r>
      <w:r>
        <w:rPr>
          <w:sz w:val="20"/>
          <w:szCs w:val="20"/>
        </w:rPr>
        <w:t>ties), and the facilities we owned that were not in operation. The following table sets forth the changes in the number of facilities operated for the years ended December 31, 2022 and 2021</w:t>
      </w:r>
      <w:r>
        <w:rPr>
          <w:sz w:val="20"/>
          <w:szCs w:val="20"/>
        </w:rPr>
        <w:t>.</w:t>
      </w:r>
    </w:p>
    <w:p w:rsidR="00000000" w:rsidRDefault="006D723D">
      <w:pPr>
        <w:pStyle w:val="a3"/>
        <w:spacing w:before="0" w:beforeAutospacing="0" w:after="0" w:afterAutospacing="0"/>
        <w:rPr>
          <w:sz w:val="20"/>
          <w:szCs w:val="20"/>
        </w:rPr>
      </w:pPr>
      <w:r>
        <w:rPr>
          <w:sz w:val="12"/>
          <w:szCs w:val="12"/>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55"/>
        <w:gridCol w:w="103"/>
        <w:gridCol w:w="1266"/>
        <w:gridCol w:w="108"/>
        <w:gridCol w:w="104"/>
        <w:gridCol w:w="601"/>
        <w:gridCol w:w="117"/>
        <w:gridCol w:w="108"/>
        <w:gridCol w:w="130"/>
        <w:gridCol w:w="902"/>
        <w:gridCol w:w="117"/>
        <w:gridCol w:w="108"/>
        <w:gridCol w:w="118"/>
        <w:gridCol w:w="787"/>
        <w:gridCol w:w="117"/>
        <w:gridCol w:w="108"/>
        <w:gridCol w:w="104"/>
        <w:gridCol w:w="621"/>
        <w:gridCol w:w="132"/>
      </w:tblGrid>
      <w:tr w:rsidR="00000000">
        <w:trPr>
          <w:tblCellSpacing w:w="15" w:type="dxa"/>
        </w:trPr>
        <w:tc>
          <w:tcPr>
            <w:tcW w:w="1727" w:type="pct"/>
            <w:vAlign w:val="center"/>
            <w:hideMark/>
          </w:tcPr>
          <w:p w:rsidR="00000000" w:rsidRDefault="006D723D">
            <w:pPr>
              <w:rPr>
                <w:sz w:val="20"/>
                <w:szCs w:val="20"/>
              </w:rPr>
            </w:pPr>
          </w:p>
        </w:tc>
        <w:tc>
          <w:tcPr>
            <w:tcW w:w="58" w:type="pct"/>
            <w:vAlign w:val="center"/>
            <w:hideMark/>
          </w:tcPr>
          <w:p w:rsidR="00000000" w:rsidRDefault="006D723D">
            <w:pPr>
              <w:rPr>
                <w:rFonts w:eastAsia="Times New Roman"/>
                <w:sz w:val="20"/>
                <w:szCs w:val="20"/>
              </w:rPr>
            </w:pPr>
          </w:p>
        </w:tc>
        <w:tc>
          <w:tcPr>
            <w:tcW w:w="85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3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3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3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4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center"/>
              <w:rPr>
                <w:sz w:val="19"/>
                <w:szCs w:val="19"/>
              </w:rPr>
            </w:pPr>
            <w:r>
              <w:rPr>
                <w:b/>
                <w:bCs/>
                <w:sz w:val="19"/>
                <w:szCs w:val="19"/>
              </w:rPr>
              <w:t>Effectiv</w:t>
            </w:r>
            <w:r>
              <w:rPr>
                <w:b/>
                <w:bCs/>
                <w:sz w:val="19"/>
                <w:szCs w:val="19"/>
              </w:rPr>
              <w:t>e</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gridSpan w:val="10"/>
            <w:vAlign w:val="bottom"/>
            <w:hideMark/>
          </w:tcPr>
          <w:p w:rsidR="00000000" w:rsidRDefault="006D723D">
            <w:pPr>
              <w:pStyle w:val="a3"/>
              <w:spacing w:before="0" w:beforeAutospacing="0" w:after="0" w:afterAutospacing="0"/>
              <w:jc w:val="center"/>
              <w:rPr>
                <w:sz w:val="19"/>
                <w:szCs w:val="19"/>
              </w:rPr>
            </w:pPr>
            <w:r>
              <w:rPr>
                <w:b/>
                <w:bCs/>
                <w:sz w:val="19"/>
                <w:szCs w:val="19"/>
              </w:rPr>
              <w:t>CoreCivi</w:t>
            </w:r>
            <w:r>
              <w:rPr>
                <w:b/>
                <w:bCs/>
                <w:sz w:val="19"/>
                <w:szCs w:val="19"/>
              </w:rPr>
              <w:t>c</w:t>
            </w:r>
          </w:p>
        </w:tc>
        <w:tc>
          <w:tcPr>
            <w:tcW w:w="0" w:type="auto"/>
            <w:vAlign w:val="bottom"/>
            <w:hideMark/>
          </w:tcPr>
          <w:p w:rsidR="00000000" w:rsidRDefault="006D723D">
            <w:pPr>
              <w:pStyle w:val="a3"/>
              <w:spacing w:before="0" w:beforeAutospacing="0" w:after="0" w:afterAutospacing="0"/>
              <w:jc w:val="center"/>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6D723D">
            <w:pPr>
              <w:pStyle w:val="a3"/>
              <w:spacing w:before="0" w:beforeAutospacing="0" w:after="0" w:afterAutospacing="0"/>
              <w:jc w:val="center"/>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jc w:val="center"/>
              <w:rPr>
                <w:sz w:val="19"/>
                <w:szCs w:val="19"/>
              </w:rPr>
            </w:pPr>
            <w:r>
              <w:rPr>
                <w:sz w:val="19"/>
                <w:szCs w:val="19"/>
              </w:rPr>
              <w:t> </w:t>
            </w:r>
          </w:p>
        </w:tc>
      </w:tr>
      <w:tr w:rsidR="00000000">
        <w:trPr>
          <w:trHeight w:val="180"/>
          <w:tblCellSpacing w:w="15" w:type="dxa"/>
        </w:trPr>
        <w:tc>
          <w:tcPr>
            <w:tcW w:w="0" w:type="auto"/>
            <w:vAlign w:val="bottom"/>
            <w:hideMark/>
          </w:tcPr>
          <w:p w:rsidR="00000000" w:rsidRDefault="006D723D">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center"/>
              <w:rPr>
                <w:sz w:val="19"/>
                <w:szCs w:val="19"/>
              </w:rPr>
            </w:pPr>
            <w:r>
              <w:rPr>
                <w:b/>
                <w:bCs/>
                <w:sz w:val="19"/>
                <w:szCs w:val="19"/>
              </w:rPr>
              <w:t>Dat</w:t>
            </w:r>
            <w:r>
              <w:rPr>
                <w:b/>
                <w:bCs/>
                <w:sz w:val="19"/>
                <w:szCs w:val="19"/>
              </w:rPr>
              <w:t>e</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6D723D">
            <w:pPr>
              <w:pStyle w:val="a3"/>
              <w:spacing w:before="0" w:beforeAutospacing="0" w:after="0" w:afterAutospacing="0"/>
              <w:jc w:val="center"/>
              <w:rPr>
                <w:sz w:val="19"/>
                <w:szCs w:val="19"/>
              </w:rPr>
            </w:pPr>
            <w:r>
              <w:rPr>
                <w:b/>
                <w:bCs/>
                <w:sz w:val="19"/>
                <w:szCs w:val="19"/>
              </w:rPr>
              <w:t>Safet</w:t>
            </w:r>
            <w:r>
              <w:rPr>
                <w:b/>
                <w:bCs/>
                <w:sz w:val="19"/>
                <w:szCs w:val="19"/>
              </w:rPr>
              <w:t>y</w:t>
            </w:r>
          </w:p>
        </w:tc>
        <w:tc>
          <w:tcPr>
            <w:tcW w:w="0" w:type="auto"/>
            <w:vAlign w:val="bottom"/>
            <w:hideMark/>
          </w:tcPr>
          <w:p w:rsidR="00000000" w:rsidRDefault="006D723D">
            <w:pPr>
              <w:pStyle w:val="a3"/>
              <w:spacing w:before="0" w:beforeAutospacing="0" w:after="0" w:afterAutospacing="0"/>
              <w:jc w:val="center"/>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6D723D">
            <w:pPr>
              <w:pStyle w:val="a3"/>
              <w:spacing w:before="0" w:beforeAutospacing="0" w:after="0" w:afterAutospacing="0"/>
              <w:jc w:val="center"/>
              <w:rPr>
                <w:sz w:val="19"/>
                <w:szCs w:val="19"/>
              </w:rPr>
            </w:pPr>
            <w:r>
              <w:rPr>
                <w:b/>
                <w:bCs/>
                <w:sz w:val="19"/>
                <w:szCs w:val="19"/>
              </w:rPr>
              <w:t>Communit</w:t>
            </w:r>
            <w:r>
              <w:rPr>
                <w:b/>
                <w:bCs/>
                <w:sz w:val="19"/>
                <w:szCs w:val="19"/>
              </w:rPr>
              <w:t>y</w:t>
            </w:r>
          </w:p>
        </w:tc>
        <w:tc>
          <w:tcPr>
            <w:tcW w:w="0" w:type="auto"/>
            <w:vAlign w:val="bottom"/>
            <w:hideMark/>
          </w:tcPr>
          <w:p w:rsidR="00000000" w:rsidRDefault="006D723D">
            <w:pPr>
              <w:pStyle w:val="a3"/>
              <w:spacing w:before="0" w:beforeAutospacing="0" w:after="0" w:afterAutospacing="0"/>
              <w:jc w:val="center"/>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6D723D">
            <w:pPr>
              <w:pStyle w:val="a3"/>
              <w:spacing w:before="0" w:beforeAutospacing="0" w:after="0" w:afterAutospacing="0"/>
              <w:jc w:val="center"/>
              <w:rPr>
                <w:sz w:val="19"/>
                <w:szCs w:val="19"/>
              </w:rPr>
            </w:pPr>
            <w:r>
              <w:rPr>
                <w:b/>
                <w:bCs/>
                <w:sz w:val="19"/>
                <w:szCs w:val="19"/>
              </w:rPr>
              <w:t>Propertie</w:t>
            </w:r>
            <w:r>
              <w:rPr>
                <w:b/>
                <w:bCs/>
                <w:sz w:val="19"/>
                <w:szCs w:val="19"/>
              </w:rPr>
              <w:t>s</w:t>
            </w:r>
          </w:p>
        </w:tc>
        <w:tc>
          <w:tcPr>
            <w:tcW w:w="0" w:type="auto"/>
            <w:vAlign w:val="bottom"/>
            <w:hideMark/>
          </w:tcPr>
          <w:p w:rsidR="00000000" w:rsidRDefault="006D723D">
            <w:pPr>
              <w:pStyle w:val="a3"/>
              <w:spacing w:before="0" w:beforeAutospacing="0" w:after="0" w:afterAutospacing="0"/>
              <w:jc w:val="center"/>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6D723D">
            <w:pPr>
              <w:pStyle w:val="a3"/>
              <w:spacing w:before="0" w:beforeAutospacing="0" w:after="0" w:afterAutospacing="0"/>
              <w:jc w:val="center"/>
              <w:rPr>
                <w:sz w:val="19"/>
                <w:szCs w:val="19"/>
              </w:rPr>
            </w:pPr>
            <w:r>
              <w:rPr>
                <w:b/>
                <w:bCs/>
                <w:sz w:val="19"/>
                <w:szCs w:val="19"/>
              </w:rPr>
              <w:t>Tota</w:t>
            </w:r>
            <w:r>
              <w:rPr>
                <w:b/>
                <w:bCs/>
                <w:sz w:val="19"/>
                <w:szCs w:val="19"/>
              </w:rPr>
              <w:t>l</w:t>
            </w:r>
          </w:p>
        </w:tc>
        <w:tc>
          <w:tcPr>
            <w:tcW w:w="0" w:type="auto"/>
            <w:vAlign w:val="bottom"/>
            <w:hideMark/>
          </w:tcPr>
          <w:p w:rsidR="00000000" w:rsidRDefault="006D723D">
            <w:pPr>
              <w:pStyle w:val="a3"/>
              <w:spacing w:before="0" w:beforeAutospacing="0" w:after="0" w:afterAutospacing="0"/>
              <w:jc w:val="center"/>
              <w:rPr>
                <w:sz w:val="19"/>
                <w:szCs w:val="19"/>
              </w:rPr>
            </w:pPr>
            <w:r>
              <w:rPr>
                <w:sz w:val="19"/>
                <w:szCs w:val="19"/>
              </w:rPr>
              <w:t> </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7"/>
                <w:szCs w:val="17"/>
              </w:rPr>
            </w:pPr>
            <w:r>
              <w:rPr>
                <w:sz w:val="17"/>
                <w:szCs w:val="17"/>
              </w:rPr>
              <w:t>Facilities as of December 31, 202</w:t>
            </w:r>
            <w:r>
              <w:rPr>
                <w:sz w:val="17"/>
                <w:szCs w:val="17"/>
              </w:rPr>
              <w:t>0</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center"/>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4</w:t>
            </w:r>
            <w:r>
              <w:rPr>
                <w:sz w:val="17"/>
                <w:szCs w:val="17"/>
              </w:rPr>
              <w:t>7</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2</w:t>
            </w:r>
            <w:r>
              <w:rPr>
                <w:sz w:val="17"/>
                <w:szCs w:val="17"/>
              </w:rPr>
              <w:t>7</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1</w:t>
            </w:r>
            <w:r>
              <w:rPr>
                <w:sz w:val="17"/>
                <w:szCs w:val="17"/>
              </w:rPr>
              <w:t>5</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8</w:t>
            </w:r>
            <w:r>
              <w:rPr>
                <w:sz w:val="17"/>
                <w:szCs w:val="17"/>
              </w:rPr>
              <w:t>9</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7"/>
                <w:szCs w:val="17"/>
              </w:rPr>
            </w:pPr>
            <w:r>
              <w:rPr>
                <w:sz w:val="17"/>
                <w:szCs w:val="17"/>
              </w:rPr>
              <w:t xml:space="preserve">Termination of contract and lease of a </w:t>
            </w:r>
            <w:r>
              <w:rPr>
                <w:sz w:val="17"/>
                <w:szCs w:val="17"/>
              </w:rPr>
              <w:br/>
              <w:t>   Colorado reentry cente</w:t>
            </w:r>
            <w:r>
              <w:rPr>
                <w:sz w:val="17"/>
                <w:szCs w:val="17"/>
              </w:rPr>
              <w:t>r</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center"/>
              <w:rPr>
                <w:sz w:val="17"/>
                <w:szCs w:val="17"/>
              </w:rPr>
            </w:pPr>
            <w:r>
              <w:rPr>
                <w:sz w:val="17"/>
                <w:szCs w:val="17"/>
              </w:rPr>
              <w:t>January 202</w:t>
            </w:r>
            <w:r>
              <w:rPr>
                <w:sz w:val="17"/>
                <w:szCs w:val="17"/>
              </w:rPr>
              <w:t>1</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r>
              <w:rPr>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r>
              <w:rPr>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7"/>
                <w:szCs w:val="17"/>
              </w:rPr>
            </w:pPr>
            <w:r>
              <w:rPr>
                <w:sz w:val="17"/>
                <w:szCs w:val="17"/>
              </w:rPr>
              <w:t>Sale of an idled government-leased</w:t>
            </w:r>
            <w:r>
              <w:rPr>
                <w:sz w:val="17"/>
                <w:szCs w:val="17"/>
              </w:rPr>
              <w:br/>
              <w:t>   property in Missour</w:t>
            </w:r>
            <w:r>
              <w:rPr>
                <w:sz w:val="17"/>
                <w:szCs w:val="17"/>
              </w:rPr>
              <w:t>i</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center"/>
              <w:rPr>
                <w:sz w:val="17"/>
                <w:szCs w:val="17"/>
              </w:rPr>
            </w:pPr>
            <w:r>
              <w:rPr>
                <w:sz w:val="17"/>
                <w:szCs w:val="17"/>
              </w:rPr>
              <w:t>May 202</w:t>
            </w:r>
            <w:r>
              <w:rPr>
                <w:sz w:val="17"/>
                <w:szCs w:val="17"/>
              </w:rPr>
              <w:t>1</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r>
              <w:rPr>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r>
              <w:rPr>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7"/>
                <w:szCs w:val="17"/>
              </w:rPr>
            </w:pPr>
            <w:r>
              <w:rPr>
                <w:sz w:val="17"/>
                <w:szCs w:val="17"/>
              </w:rPr>
              <w:t xml:space="preserve">Sale of two leased properties in </w:t>
            </w:r>
            <w:r>
              <w:rPr>
                <w:sz w:val="17"/>
                <w:szCs w:val="17"/>
              </w:rPr>
              <w:br/>
              <w:t>   Florida and Ohi</w:t>
            </w:r>
            <w:r>
              <w:rPr>
                <w:sz w:val="17"/>
                <w:szCs w:val="17"/>
              </w:rPr>
              <w:t>o</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center"/>
              <w:rPr>
                <w:sz w:val="17"/>
                <w:szCs w:val="17"/>
              </w:rPr>
            </w:pPr>
            <w:r>
              <w:rPr>
                <w:sz w:val="17"/>
                <w:szCs w:val="17"/>
              </w:rPr>
              <w:t>May 202</w:t>
            </w:r>
            <w:r>
              <w:rPr>
                <w:sz w:val="17"/>
                <w:szCs w:val="17"/>
              </w:rPr>
              <w:t>1</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r>
              <w:rPr>
                <w:sz w:val="17"/>
                <w:szCs w:val="17"/>
              </w:rPr>
              <w:t>2</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r>
              <w:rPr>
                <w:sz w:val="17"/>
                <w:szCs w:val="17"/>
              </w:rPr>
              <w:t>2</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7"/>
                <w:szCs w:val="17"/>
              </w:rPr>
            </w:pPr>
            <w:r>
              <w:rPr>
                <w:sz w:val="17"/>
                <w:szCs w:val="17"/>
              </w:rPr>
              <w:t xml:space="preserve">Sale of a government-leased property </w:t>
            </w:r>
            <w:r>
              <w:rPr>
                <w:sz w:val="17"/>
                <w:szCs w:val="17"/>
              </w:rPr>
              <w:br/>
              <w:t>   in Marylan</w:t>
            </w:r>
            <w:r>
              <w:rPr>
                <w:sz w:val="17"/>
                <w:szCs w:val="17"/>
              </w:rPr>
              <w:t>d</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center"/>
              <w:rPr>
                <w:sz w:val="17"/>
                <w:szCs w:val="17"/>
              </w:rPr>
            </w:pPr>
            <w:r>
              <w:rPr>
                <w:sz w:val="17"/>
                <w:szCs w:val="17"/>
              </w:rPr>
              <w:t>June 202</w:t>
            </w:r>
            <w:r>
              <w:rPr>
                <w:sz w:val="17"/>
                <w:szCs w:val="17"/>
              </w:rPr>
              <w:t>1</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r>
              <w:rPr>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r>
              <w:rPr>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7"/>
                <w:szCs w:val="17"/>
              </w:rPr>
            </w:pPr>
            <w:r>
              <w:rPr>
                <w:sz w:val="17"/>
                <w:szCs w:val="17"/>
              </w:rPr>
              <w:t>Sale of an idled property in Pennsylvani</w:t>
            </w:r>
            <w:r>
              <w:rPr>
                <w:sz w:val="17"/>
                <w:szCs w:val="17"/>
              </w:rPr>
              <w:t>a</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center"/>
              <w:rPr>
                <w:sz w:val="17"/>
                <w:szCs w:val="17"/>
              </w:rPr>
            </w:pPr>
            <w:r>
              <w:rPr>
                <w:sz w:val="17"/>
                <w:szCs w:val="17"/>
              </w:rPr>
              <w:t>June 202</w:t>
            </w:r>
            <w:r>
              <w:rPr>
                <w:sz w:val="17"/>
                <w:szCs w:val="17"/>
              </w:rPr>
              <w:t>1</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r>
              <w:rPr>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r>
              <w:rPr>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7"/>
                <w:szCs w:val="17"/>
              </w:rPr>
            </w:pPr>
            <w:r>
              <w:rPr>
                <w:sz w:val="17"/>
                <w:szCs w:val="17"/>
              </w:rPr>
              <w:t>Termination of GRES partnership</w:t>
            </w:r>
            <w:r>
              <w:rPr>
                <w:sz w:val="17"/>
                <w:szCs w:val="17"/>
              </w:rPr>
              <w:br/>
              <w:t>   </w:t>
            </w:r>
            <w:r>
              <w:rPr>
                <w:sz w:val="17"/>
                <w:szCs w:val="17"/>
              </w:rPr>
              <w:t>(Detroit, Michigan</w:t>
            </w:r>
            <w:r>
              <w:rPr>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center"/>
              <w:rPr>
                <w:sz w:val="17"/>
                <w:szCs w:val="17"/>
              </w:rPr>
            </w:pPr>
            <w:r>
              <w:rPr>
                <w:sz w:val="17"/>
                <w:szCs w:val="17"/>
              </w:rPr>
              <w:t>September 202</w:t>
            </w:r>
            <w:r>
              <w:rPr>
                <w:sz w:val="17"/>
                <w:szCs w:val="17"/>
              </w:rPr>
              <w:t>1</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r>
              <w:rPr>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r>
              <w:rPr>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7"/>
                <w:szCs w:val="17"/>
              </w:rPr>
            </w:pPr>
            <w:r>
              <w:rPr>
                <w:sz w:val="17"/>
                <w:szCs w:val="17"/>
              </w:rPr>
              <w:t>Lease of the Northwest New Mexico</w:t>
            </w:r>
            <w:r>
              <w:rPr>
                <w:sz w:val="17"/>
                <w:szCs w:val="17"/>
              </w:rPr>
              <w:br/>
              <w:t>   Correctional Cente</w:t>
            </w:r>
            <w:r>
              <w:rPr>
                <w:sz w:val="17"/>
                <w:szCs w:val="17"/>
              </w:rPr>
              <w:t>r</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center"/>
              <w:rPr>
                <w:sz w:val="17"/>
                <w:szCs w:val="17"/>
              </w:rPr>
            </w:pPr>
            <w:r>
              <w:rPr>
                <w:sz w:val="17"/>
                <w:szCs w:val="17"/>
              </w:rPr>
              <w:t>November 202</w:t>
            </w:r>
            <w:r>
              <w:rPr>
                <w:sz w:val="17"/>
                <w:szCs w:val="17"/>
              </w:rPr>
              <w:t>1</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r>
              <w:rPr>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7"/>
                <w:szCs w:val="17"/>
              </w:rPr>
            </w:pPr>
            <w:r>
              <w:rPr>
                <w:sz w:val="17"/>
                <w:szCs w:val="17"/>
              </w:rPr>
              <w:t>Facilities as of December 31, 202</w:t>
            </w:r>
            <w:r>
              <w:rPr>
                <w:sz w:val="17"/>
                <w:szCs w:val="17"/>
              </w:rPr>
              <w:t>1</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4</w:t>
            </w:r>
            <w:r>
              <w:rPr>
                <w:sz w:val="17"/>
                <w:szCs w:val="17"/>
              </w:rPr>
              <w:t>6</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2</w:t>
            </w:r>
            <w:r>
              <w:rPr>
                <w:sz w:val="17"/>
                <w:szCs w:val="17"/>
              </w:rPr>
              <w:t>6</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1</w:t>
            </w:r>
            <w:r>
              <w:rPr>
                <w:sz w:val="17"/>
                <w:szCs w:val="17"/>
              </w:rPr>
              <w:t>0</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8</w:t>
            </w:r>
            <w:r>
              <w:rPr>
                <w:sz w:val="17"/>
                <w:szCs w:val="17"/>
              </w:rPr>
              <w:t>2</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7"/>
                <w:szCs w:val="17"/>
              </w:rPr>
            </w:pPr>
            <w:r>
              <w:rPr>
                <w:sz w:val="17"/>
                <w:szCs w:val="17"/>
              </w:rPr>
              <w:t xml:space="preserve">Expiration of a managed-only contract in </w:t>
            </w:r>
            <w:r>
              <w:rPr>
                <w:sz w:val="17"/>
                <w:szCs w:val="17"/>
              </w:rPr>
              <w:br/>
              <w:t>   Indian</w:t>
            </w:r>
            <w:r>
              <w:rPr>
                <w:sz w:val="17"/>
                <w:szCs w:val="17"/>
              </w:rPr>
              <w:t>a</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center"/>
              <w:rPr>
                <w:sz w:val="17"/>
                <w:szCs w:val="17"/>
              </w:rPr>
            </w:pPr>
            <w:r>
              <w:rPr>
                <w:sz w:val="17"/>
                <w:szCs w:val="17"/>
              </w:rPr>
              <w:t>January 202</w:t>
            </w:r>
            <w:r>
              <w:rPr>
                <w:sz w:val="17"/>
                <w:szCs w:val="17"/>
              </w:rPr>
              <w:t>2</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r>
              <w:rPr>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r>
              <w:rPr>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7"/>
                <w:szCs w:val="17"/>
              </w:rPr>
            </w:pPr>
            <w:r>
              <w:rPr>
                <w:sz w:val="17"/>
                <w:szCs w:val="17"/>
              </w:rPr>
              <w:t xml:space="preserve">Sale of a residential reentry facility in </w:t>
            </w:r>
            <w:r>
              <w:rPr>
                <w:sz w:val="17"/>
                <w:szCs w:val="17"/>
              </w:rPr>
              <w:br/>
              <w:t>   Colorad</w:t>
            </w:r>
            <w:r>
              <w:rPr>
                <w:sz w:val="17"/>
                <w:szCs w:val="17"/>
              </w:rPr>
              <w:t>o</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center"/>
              <w:rPr>
                <w:sz w:val="17"/>
                <w:szCs w:val="17"/>
              </w:rPr>
            </w:pPr>
            <w:r>
              <w:rPr>
                <w:sz w:val="17"/>
                <w:szCs w:val="17"/>
              </w:rPr>
              <w:t>February 202</w:t>
            </w:r>
            <w:r>
              <w:rPr>
                <w:sz w:val="17"/>
                <w:szCs w:val="17"/>
              </w:rPr>
              <w:t>2</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r>
              <w:rPr>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r>
              <w:rPr>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7"/>
                <w:szCs w:val="17"/>
              </w:rPr>
            </w:pPr>
            <w:r>
              <w:rPr>
                <w:sz w:val="17"/>
                <w:szCs w:val="17"/>
              </w:rPr>
              <w:t xml:space="preserve">Sale of a residential reentry facility in </w:t>
            </w:r>
            <w:r>
              <w:rPr>
                <w:sz w:val="17"/>
                <w:szCs w:val="17"/>
              </w:rPr>
              <w:br/>
              <w:t>   Colorad</w:t>
            </w:r>
            <w:r>
              <w:rPr>
                <w:sz w:val="17"/>
                <w:szCs w:val="17"/>
              </w:rPr>
              <w:t>o</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center"/>
              <w:rPr>
                <w:sz w:val="17"/>
                <w:szCs w:val="17"/>
              </w:rPr>
            </w:pPr>
            <w:r>
              <w:rPr>
                <w:sz w:val="17"/>
                <w:szCs w:val="17"/>
              </w:rPr>
              <w:t>March 202</w:t>
            </w:r>
            <w:r>
              <w:rPr>
                <w:sz w:val="17"/>
                <w:szCs w:val="17"/>
              </w:rPr>
              <w:t>2</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r>
              <w:rPr>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r>
              <w:rPr>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7"/>
                <w:szCs w:val="17"/>
              </w:rPr>
            </w:pPr>
            <w:r>
              <w:rPr>
                <w:sz w:val="17"/>
                <w:szCs w:val="17"/>
              </w:rPr>
              <w:t xml:space="preserve">Sale of two leased community </w:t>
            </w:r>
            <w:r>
              <w:rPr>
                <w:sz w:val="17"/>
                <w:szCs w:val="17"/>
              </w:rPr>
              <w:br/>
              <w:t>   corrections facilities in Californi</w:t>
            </w:r>
            <w:r>
              <w:rPr>
                <w:sz w:val="17"/>
                <w:szCs w:val="17"/>
              </w:rPr>
              <w:t>a</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center"/>
              <w:rPr>
                <w:sz w:val="17"/>
                <w:szCs w:val="17"/>
              </w:rPr>
            </w:pPr>
            <w:r>
              <w:rPr>
                <w:sz w:val="17"/>
                <w:szCs w:val="17"/>
              </w:rPr>
              <w:t>July 202</w:t>
            </w:r>
            <w:r>
              <w:rPr>
                <w:sz w:val="17"/>
                <w:szCs w:val="17"/>
              </w:rPr>
              <w:t>2</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r>
              <w:rPr>
                <w:sz w:val="17"/>
                <w:szCs w:val="17"/>
              </w:rPr>
              <w:t>2</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r>
              <w:rPr>
                <w:sz w:val="17"/>
                <w:szCs w:val="17"/>
              </w:rPr>
              <w:t>2</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7"/>
                <w:szCs w:val="17"/>
              </w:rPr>
            </w:pPr>
            <w:r>
              <w:rPr>
                <w:sz w:val="17"/>
                <w:szCs w:val="17"/>
              </w:rPr>
              <w:t>Sale and subsequent termination of the</w:t>
            </w:r>
            <w:r>
              <w:rPr>
                <w:sz w:val="17"/>
                <w:szCs w:val="17"/>
              </w:rPr>
              <w:br/>
              <w:t xml:space="preserve">   contract and lease of the McRae </w:t>
            </w:r>
            <w:r>
              <w:rPr>
                <w:sz w:val="17"/>
                <w:szCs w:val="17"/>
              </w:rPr>
              <w:br/>
              <w:t>   Correctional Facility in Georgi</w:t>
            </w:r>
            <w:r>
              <w:rPr>
                <w:sz w:val="17"/>
                <w:szCs w:val="17"/>
              </w:rPr>
              <w:t>a</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center"/>
              <w:rPr>
                <w:sz w:val="17"/>
                <w:szCs w:val="17"/>
              </w:rPr>
            </w:pPr>
            <w:r>
              <w:rPr>
                <w:sz w:val="17"/>
                <w:szCs w:val="17"/>
              </w:rPr>
              <w:t>Aug/Nov 202</w:t>
            </w:r>
            <w:r>
              <w:rPr>
                <w:sz w:val="17"/>
                <w:szCs w:val="17"/>
              </w:rPr>
              <w:t>2</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r>
              <w:rPr>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r>
              <w:rPr>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7"/>
                <w:szCs w:val="17"/>
              </w:rPr>
            </w:pPr>
            <w:r>
              <w:rPr>
                <w:sz w:val="17"/>
                <w:szCs w:val="17"/>
              </w:rPr>
              <w:t xml:space="preserve">Sale of an idled residential reentry </w:t>
            </w:r>
            <w:r>
              <w:rPr>
                <w:sz w:val="17"/>
                <w:szCs w:val="17"/>
              </w:rPr>
              <w:br/>
              <w:t>   facility in Oklahom</w:t>
            </w:r>
            <w:r>
              <w:rPr>
                <w:sz w:val="17"/>
                <w:szCs w:val="17"/>
              </w:rPr>
              <w:t>a</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center"/>
              <w:rPr>
                <w:sz w:val="17"/>
                <w:szCs w:val="17"/>
              </w:rPr>
            </w:pPr>
            <w:r>
              <w:rPr>
                <w:sz w:val="17"/>
                <w:szCs w:val="17"/>
              </w:rPr>
              <w:t>December 202</w:t>
            </w:r>
            <w:r>
              <w:rPr>
                <w:sz w:val="17"/>
                <w:szCs w:val="17"/>
              </w:rPr>
              <w:t>2</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r>
              <w:rPr>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r>
              <w:rPr>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7"/>
                <w:szCs w:val="17"/>
              </w:rPr>
            </w:pPr>
            <w:r>
              <w:rPr>
                <w:b/>
                <w:bCs/>
                <w:sz w:val="17"/>
                <w:szCs w:val="17"/>
              </w:rPr>
              <w:t>Facilities as of December 31, 202</w:t>
            </w:r>
            <w:r>
              <w:rPr>
                <w:b/>
                <w:bCs/>
                <w:sz w:val="17"/>
                <w:szCs w:val="17"/>
              </w:rPr>
              <w:t>2</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b/>
                <w:bCs/>
                <w:sz w:val="17"/>
                <w:szCs w:val="17"/>
              </w:rPr>
              <w:t>4</w:t>
            </w:r>
            <w:r>
              <w:rPr>
                <w:b/>
                <w:bCs/>
                <w:sz w:val="17"/>
                <w:szCs w:val="17"/>
              </w:rPr>
              <w:t>4</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b/>
                <w:bCs/>
                <w:sz w:val="17"/>
                <w:szCs w:val="17"/>
              </w:rPr>
              <w:t>2</w:t>
            </w:r>
            <w:r>
              <w:rPr>
                <w:b/>
                <w:bCs/>
                <w:sz w:val="17"/>
                <w:szCs w:val="17"/>
              </w:rPr>
              <w:t>3</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b/>
                <w:bCs/>
                <w:sz w:val="17"/>
                <w:szCs w:val="17"/>
              </w:rPr>
              <w:t>8</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b/>
                <w:bCs/>
                <w:sz w:val="17"/>
                <w:szCs w:val="17"/>
              </w:rPr>
              <w:t>7</w:t>
            </w:r>
            <w:r>
              <w:rPr>
                <w:b/>
                <w:bCs/>
                <w:sz w:val="17"/>
                <w:szCs w:val="17"/>
              </w:rPr>
              <w:t>5</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bl>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center"/>
        <w:rPr>
          <w:sz w:val="20"/>
          <w:szCs w:val="20"/>
        </w:rPr>
      </w:pPr>
      <w:r>
        <w:rPr>
          <w:sz w:val="20"/>
          <w:szCs w:val="20"/>
        </w:rPr>
        <w:t>7</w:t>
      </w:r>
      <w:r>
        <w:rPr>
          <w:sz w:val="20"/>
          <w:szCs w:val="20"/>
        </w:rPr>
        <w:t>1</w:t>
      </w:r>
    </w:p>
    <w:p w:rsidR="00000000" w:rsidRDefault="006D723D">
      <w:pPr>
        <w:rPr>
          <w:rFonts w:eastAsia="Times New Roman"/>
        </w:rPr>
      </w:pPr>
      <w:r>
        <w:rPr>
          <w:rFonts w:eastAsia="Times New Roman"/>
        </w:rPr>
        <w:pict>
          <v:rect id="_x0000_i1095"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360" w:beforeAutospacing="0" w:after="0" w:afterAutospacing="0"/>
        <w:rPr>
          <w:sz w:val="20"/>
          <w:szCs w:val="20"/>
        </w:rPr>
      </w:pPr>
      <w:r>
        <w:rPr>
          <w:b/>
          <w:bCs/>
          <w:sz w:val="20"/>
          <w:szCs w:val="20"/>
        </w:rPr>
        <w:t>Year Ended December 31, 2022 Compared to the Year Ended December 31, 202</w:t>
      </w:r>
      <w:r>
        <w:rPr>
          <w:b/>
          <w:bCs/>
          <w:sz w:val="20"/>
          <w:szCs w:val="20"/>
        </w:rPr>
        <w:t>1</w:t>
      </w:r>
    </w:p>
    <w:p w:rsidR="00000000" w:rsidRDefault="006D723D">
      <w:pPr>
        <w:pStyle w:val="a3"/>
        <w:spacing w:before="120" w:beforeAutospacing="0" w:after="0" w:afterAutospacing="0"/>
        <w:jc w:val="both"/>
        <w:rPr>
          <w:sz w:val="20"/>
          <w:szCs w:val="20"/>
        </w:rPr>
      </w:pPr>
      <w:r>
        <w:rPr>
          <w:sz w:val="20"/>
          <w:szCs w:val="20"/>
        </w:rPr>
        <w:t>During the year ended December 31, 2022, net income attributable to common stockholders was $122.3 million, or $1.03 per diluted share, compared</w:t>
      </w:r>
      <w:r>
        <w:rPr>
          <w:sz w:val="20"/>
          <w:szCs w:val="20"/>
        </w:rPr>
        <w:t xml:space="preserve"> with a net loss attributable to common stockholders of $51.9 million, or $0.43 per diluted share, for the previous year. Financial results for 2022 reflected an $87.7 million gain on the sale of real estate assets, $8.1 million of expenses associated with</w:t>
      </w:r>
      <w:r>
        <w:rPr>
          <w:sz w:val="20"/>
          <w:szCs w:val="20"/>
        </w:rPr>
        <w:t xml:space="preserve"> debt repayments and refinancing transactions, $4.4 million of asset impairments, and $1.9 million associated with shareholder litigation expense. Collectively, these special items were partially offset by an income tax expense of $19.3 million associated </w:t>
      </w:r>
      <w:r>
        <w:rPr>
          <w:sz w:val="20"/>
          <w:szCs w:val="20"/>
        </w:rPr>
        <w:t>with these special items</w:t>
      </w:r>
      <w:r>
        <w:rPr>
          <w:sz w:val="20"/>
          <w:szCs w:val="20"/>
        </w:rPr>
        <w:t>.</w:t>
      </w:r>
      <w:r>
        <w:rPr>
          <w:sz w:val="20"/>
          <w:szCs w:val="20"/>
        </w:rPr>
        <w:t xml:space="preserve"> </w:t>
      </w:r>
    </w:p>
    <w:p w:rsidR="00000000" w:rsidRDefault="006D723D">
      <w:pPr>
        <w:pStyle w:val="a3"/>
        <w:spacing w:before="120" w:beforeAutospacing="0" w:after="0" w:afterAutospacing="0"/>
        <w:jc w:val="both"/>
        <w:rPr>
          <w:sz w:val="20"/>
          <w:szCs w:val="20"/>
        </w:rPr>
      </w:pPr>
      <w:r>
        <w:rPr>
          <w:sz w:val="20"/>
          <w:szCs w:val="20"/>
        </w:rPr>
        <w:t>Financial results for 2021 reflected $11.4 million of asset impairments, $56.3 million of expenses associated with debt repayments and refinancing transactions, and $54.3 million of charges related to the settlement agreement reached during April 2021 in c</w:t>
      </w:r>
      <w:r>
        <w:rPr>
          <w:sz w:val="20"/>
          <w:szCs w:val="20"/>
        </w:rPr>
        <w:t xml:space="preserve">onnection with shareholder litigation, partially offset by a gain on the sale of real estate assets amounting to $38.8 million. Collectively, these special items were partially offset by an income tax benefit of $21.2 million associated with these special </w:t>
      </w:r>
      <w:r>
        <w:rPr>
          <w:sz w:val="20"/>
          <w:szCs w:val="20"/>
        </w:rPr>
        <w:t>items. In addition, financial results for 2021 included an income tax charge of $138.0 million, including $114.2 million for income taxes associated with the change in corporate tax structure and other special tax items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b/>
          <w:bCs/>
          <w:sz w:val="20"/>
          <w:szCs w:val="20"/>
        </w:rPr>
        <w:t>Our Current Operation</w:t>
      </w:r>
      <w:r>
        <w:rPr>
          <w:b/>
          <w:bCs/>
          <w:sz w:val="20"/>
          <w:szCs w:val="20"/>
        </w:rPr>
        <w:t>s</w:t>
      </w:r>
    </w:p>
    <w:p w:rsidR="00000000" w:rsidRDefault="006D723D">
      <w:pPr>
        <w:pStyle w:val="a3"/>
        <w:spacing w:before="120" w:beforeAutospacing="0" w:after="0" w:afterAutospacing="0"/>
        <w:jc w:val="both"/>
        <w:rPr>
          <w:sz w:val="20"/>
          <w:szCs w:val="20"/>
        </w:rPr>
      </w:pPr>
      <w:r>
        <w:rPr>
          <w:sz w:val="20"/>
          <w:szCs w:val="20"/>
        </w:rPr>
        <w:t>Our ongoing</w:t>
      </w:r>
      <w:r>
        <w:rPr>
          <w:sz w:val="20"/>
          <w:szCs w:val="20"/>
        </w:rPr>
        <w:t xml:space="preserve"> operations are organized into three principal business segments</w:t>
      </w:r>
      <w:r>
        <w:rPr>
          <w:sz w:val="20"/>
          <w:szCs w:val="20"/>
        </w:rPr>
        <w:t>:</w:t>
      </w:r>
    </w:p>
    <w:p w:rsidR="00000000" w:rsidRDefault="006D723D">
      <w:pPr>
        <w:jc w:val="both"/>
        <w:divId w:val="2005736791"/>
        <w:rPr>
          <w:rFonts w:eastAsia="Times New Roman"/>
        </w:rPr>
      </w:pPr>
      <w:r>
        <w:rPr>
          <w:rFonts w:eastAsia="Times New Roman"/>
          <w:sz w:val="20"/>
          <w:szCs w:val="20"/>
        </w:rPr>
        <w:t>•</w:t>
      </w:r>
    </w:p>
    <w:p w:rsidR="00000000" w:rsidRDefault="006D723D">
      <w:pPr>
        <w:jc w:val="both"/>
        <w:divId w:val="1828935059"/>
        <w:rPr>
          <w:rFonts w:eastAsia="Times New Roman"/>
        </w:rPr>
      </w:pPr>
      <w:r>
        <w:rPr>
          <w:rFonts w:eastAsia="Times New Roman"/>
          <w:sz w:val="20"/>
          <w:szCs w:val="20"/>
        </w:rPr>
        <w:t>CoreCivic Safety segment, consisting of the 44 correctional and detention facilities that are owned, or controlled via a long-term lease, and managed by CoreCivic, as well as those correct</w:t>
      </w:r>
      <w:r>
        <w:rPr>
          <w:rFonts w:eastAsia="Times New Roman"/>
          <w:sz w:val="20"/>
          <w:szCs w:val="20"/>
        </w:rPr>
        <w:t>ional and detention facilities owned by third parties but managed by CoreCivic. CoreCivic Safety also includes the operating results of our subsidiary that provides transportation services to governmental agencies, TransCor America, LLC, or TransCor</w:t>
      </w:r>
      <w:r>
        <w:rPr>
          <w:rFonts w:eastAsia="Times New Roman"/>
          <w:sz w:val="20"/>
          <w:szCs w:val="20"/>
        </w:rPr>
        <w:t>.</w:t>
      </w:r>
    </w:p>
    <w:p w:rsidR="00000000" w:rsidRDefault="006D723D">
      <w:pPr>
        <w:jc w:val="both"/>
        <w:divId w:val="1730878965"/>
        <w:rPr>
          <w:rFonts w:eastAsia="Times New Roman"/>
        </w:rPr>
      </w:pPr>
      <w:r>
        <w:rPr>
          <w:rFonts w:eastAsia="Times New Roman"/>
          <w:sz w:val="20"/>
          <w:szCs w:val="20"/>
        </w:rPr>
        <w:t>•</w:t>
      </w:r>
    </w:p>
    <w:p w:rsidR="00000000" w:rsidRDefault="006D723D">
      <w:pPr>
        <w:jc w:val="both"/>
        <w:divId w:val="288441361"/>
        <w:rPr>
          <w:rFonts w:eastAsia="Times New Roman"/>
        </w:rPr>
      </w:pPr>
      <w:r>
        <w:rPr>
          <w:rFonts w:eastAsia="Times New Roman"/>
          <w:sz w:val="20"/>
          <w:szCs w:val="20"/>
        </w:rPr>
        <w:t>Cor</w:t>
      </w:r>
      <w:r>
        <w:rPr>
          <w:rFonts w:eastAsia="Times New Roman"/>
          <w:sz w:val="20"/>
          <w:szCs w:val="20"/>
        </w:rPr>
        <w:t>eCivic Community segment, consisting of the 23 residential reentry centers that are owned, or controlled via a long-term lease, and managed by CoreCivic. CoreCivic Community also includes the operating results of our electronic monitoring and case manageme</w:t>
      </w:r>
      <w:r>
        <w:rPr>
          <w:rFonts w:eastAsia="Times New Roman"/>
          <w:sz w:val="20"/>
          <w:szCs w:val="20"/>
        </w:rPr>
        <w:t>nt service</w:t>
      </w:r>
      <w:r>
        <w:rPr>
          <w:rFonts w:eastAsia="Times New Roman"/>
          <w:sz w:val="20"/>
          <w:szCs w:val="20"/>
        </w:rPr>
        <w:t>.</w:t>
      </w:r>
    </w:p>
    <w:p w:rsidR="00000000" w:rsidRDefault="006D723D">
      <w:pPr>
        <w:jc w:val="both"/>
        <w:divId w:val="793715880"/>
        <w:rPr>
          <w:rFonts w:eastAsia="Times New Roman"/>
        </w:rPr>
      </w:pPr>
      <w:r>
        <w:rPr>
          <w:rFonts w:eastAsia="Times New Roman"/>
          <w:sz w:val="20"/>
          <w:szCs w:val="20"/>
        </w:rPr>
        <w:t>•</w:t>
      </w:r>
    </w:p>
    <w:p w:rsidR="00000000" w:rsidRDefault="006D723D">
      <w:pPr>
        <w:jc w:val="both"/>
        <w:divId w:val="1059592665"/>
        <w:rPr>
          <w:rFonts w:eastAsia="Times New Roman"/>
        </w:rPr>
      </w:pPr>
      <w:r>
        <w:rPr>
          <w:rFonts w:eastAsia="Times New Roman"/>
          <w:sz w:val="20"/>
          <w:szCs w:val="20"/>
        </w:rPr>
        <w:t>CoreCivic Properties segment, consisting of the 8 real estate properties owned by CoreCivic and leased to government agencies</w:t>
      </w:r>
      <w:r>
        <w:rPr>
          <w:rFonts w:eastAsia="Times New Roman"/>
          <w:sz w:val="20"/>
          <w:szCs w:val="20"/>
        </w:rPr>
        <w:t>.</w:t>
      </w:r>
    </w:p>
    <w:p w:rsidR="00000000" w:rsidRDefault="006D723D">
      <w:pPr>
        <w:pStyle w:val="a3"/>
        <w:spacing w:before="240" w:beforeAutospacing="0" w:after="0" w:afterAutospacing="0"/>
        <w:jc w:val="both"/>
        <w:rPr>
          <w:sz w:val="20"/>
          <w:szCs w:val="20"/>
        </w:rPr>
      </w:pPr>
      <w:r>
        <w:rPr>
          <w:sz w:val="20"/>
          <w:szCs w:val="20"/>
        </w:rPr>
        <w:t>For the years ended December 31, 2022 and 2021, our total segment net operating income, which we define as facility</w:t>
      </w:r>
      <w:r>
        <w:rPr>
          <w:sz w:val="20"/>
          <w:szCs w:val="20"/>
        </w:rPr>
        <w:t xml:space="preserve"> revenue (including interest income associated with finance leases) less operating expenses, was divided among our three business segments as follows</w:t>
      </w:r>
      <w:r>
        <w:rPr>
          <w:sz w:val="20"/>
          <w:szCs w:val="20"/>
        </w:rPr>
        <w:t>:</w:t>
      </w:r>
    </w:p>
    <w:p w:rsidR="00000000" w:rsidRDefault="006D723D">
      <w:pPr>
        <w:pStyle w:val="a3"/>
        <w:spacing w:before="240" w:beforeAutospacing="0" w:after="0" w:afterAutospacing="0"/>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756"/>
        <w:gridCol w:w="110"/>
        <w:gridCol w:w="110"/>
        <w:gridCol w:w="1405"/>
        <w:gridCol w:w="227"/>
        <w:gridCol w:w="110"/>
        <w:gridCol w:w="110"/>
        <w:gridCol w:w="1405"/>
        <w:gridCol w:w="242"/>
      </w:tblGrid>
      <w:tr w:rsidR="00000000">
        <w:trPr>
          <w:tblCellSpacing w:w="15" w:type="dxa"/>
        </w:trPr>
        <w:tc>
          <w:tcPr>
            <w:tcW w:w="2622" w:type="pct"/>
            <w:vAlign w:val="center"/>
            <w:hideMark/>
          </w:tcPr>
          <w:p w:rsidR="00000000" w:rsidRDefault="006D723D">
            <w:pPr>
              <w:rPr>
                <w:sz w:val="20"/>
                <w:szCs w:val="20"/>
              </w:rPr>
            </w:pPr>
          </w:p>
        </w:tc>
        <w:tc>
          <w:tcPr>
            <w:tcW w:w="65"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102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5"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102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6D723D">
            <w:pPr>
              <w:pStyle w:val="a3"/>
              <w:spacing w:before="0" w:beforeAutospacing="0" w:after="0" w:afterAutospacing="0"/>
              <w:jc w:val="center"/>
              <w:rPr>
                <w:sz w:val="16"/>
                <w:szCs w:val="16"/>
              </w:rPr>
            </w:pPr>
            <w:r>
              <w:rPr>
                <w:b/>
                <w:bCs/>
                <w:sz w:val="16"/>
                <w:szCs w:val="16"/>
              </w:rPr>
              <w:t>For the Years Ended December 31</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sz w:val="16"/>
                <w:szCs w:val="16"/>
              </w:rPr>
              <w:t>202</w:t>
            </w:r>
            <w:r>
              <w:rPr>
                <w:sz w:val="16"/>
                <w:szCs w:val="16"/>
              </w:rPr>
              <w:t>1</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b/>
                <w:bCs/>
                <w:sz w:val="20"/>
                <w:szCs w:val="20"/>
              </w:rPr>
              <w:t>Segment</w:t>
            </w: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Safet</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84.</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85.</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Communit</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Propertie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12.</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11.</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bl>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center"/>
        <w:rPr>
          <w:sz w:val="20"/>
          <w:szCs w:val="20"/>
        </w:rPr>
      </w:pPr>
      <w:r>
        <w:rPr>
          <w:sz w:val="20"/>
          <w:szCs w:val="20"/>
        </w:rPr>
        <w:t>7</w:t>
      </w:r>
      <w:r>
        <w:rPr>
          <w:sz w:val="20"/>
          <w:szCs w:val="20"/>
        </w:rPr>
        <w:t>2</w:t>
      </w:r>
    </w:p>
    <w:p w:rsidR="00000000" w:rsidRDefault="006D723D">
      <w:pPr>
        <w:rPr>
          <w:rFonts w:eastAsia="Times New Roman"/>
        </w:rPr>
      </w:pPr>
      <w:r>
        <w:rPr>
          <w:rFonts w:eastAsia="Times New Roman"/>
        </w:rPr>
        <w:pict>
          <v:rect id="_x0000_i1096"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360" w:beforeAutospacing="0" w:after="0" w:afterAutospacing="0"/>
        <w:jc w:val="both"/>
        <w:rPr>
          <w:sz w:val="20"/>
          <w:szCs w:val="20"/>
        </w:rPr>
      </w:pPr>
      <w:r>
        <w:rPr>
          <w:b/>
          <w:bCs/>
          <w:i/>
          <w:iCs/>
          <w:sz w:val="20"/>
          <w:szCs w:val="20"/>
        </w:rPr>
        <w:t>Facility Operation</w:t>
      </w:r>
      <w:r>
        <w:rPr>
          <w:b/>
          <w:bCs/>
          <w:i/>
          <w:iCs/>
          <w:sz w:val="20"/>
          <w:szCs w:val="20"/>
        </w:rPr>
        <w:t>s</w:t>
      </w:r>
    </w:p>
    <w:p w:rsidR="00000000" w:rsidRDefault="006D723D">
      <w:pPr>
        <w:pStyle w:val="a3"/>
        <w:spacing w:before="120" w:beforeAutospacing="0" w:after="0" w:afterAutospacing="0"/>
        <w:jc w:val="both"/>
        <w:rPr>
          <w:sz w:val="20"/>
          <w:szCs w:val="20"/>
        </w:rPr>
      </w:pPr>
      <w:r>
        <w:rPr>
          <w:sz w:val="20"/>
          <w:szCs w:val="20"/>
        </w:rPr>
        <w:t xml:space="preserve">A key performance indicator we use to measure the revenue and expenses associated with the operation of the correctional, detention, and residential reentry facilities we own or manage is expressed </w:t>
      </w:r>
      <w:r>
        <w:rPr>
          <w:sz w:val="20"/>
          <w:szCs w:val="20"/>
        </w:rPr>
        <w:t>in terms of a compensated man-day, which represents the revenue we generate and expenses we incur for one offender for one calendar day. Revenue and expenses per compensated man-day are computed by dividing facility revenue and expenses by the total number</w:t>
      </w:r>
      <w:r>
        <w:rPr>
          <w:sz w:val="20"/>
          <w:szCs w:val="20"/>
        </w:rPr>
        <w:t xml:space="preserve"> of compensated man-days during the period. A compensated man-day represents a calendar day for which we are paid for the occupancy of an offender. We believe the measurement is useful because we are compensated for operating and managing facilities at an </w:t>
      </w:r>
      <w:r>
        <w:rPr>
          <w:sz w:val="20"/>
          <w:szCs w:val="20"/>
        </w:rPr>
        <w:t>offender per diem rate based upon actual or minimum guaranteed occupancy levels. We also measure our costs on a per compensated man-day basis, which is largely dependent upon the number of offenders we accommodate. Further, per compensated man-day measurem</w:t>
      </w:r>
      <w:r>
        <w:rPr>
          <w:sz w:val="20"/>
          <w:szCs w:val="20"/>
        </w:rPr>
        <w:t>ents are also used to estimate our potential profitability based on certain occupancy levels relative to design capacity. Revenue and expenses per compensated man-day for all of the correctional, detention, and residential reentry facilities placed into se</w:t>
      </w:r>
      <w:r>
        <w:rPr>
          <w:sz w:val="20"/>
          <w:szCs w:val="20"/>
        </w:rPr>
        <w:t>rvice that we owned or managed, exclusive of those held for lease, and for TransCor were as follows for the years ended December 31, 2022 and 2021</w:t>
      </w:r>
      <w:r>
        <w:rPr>
          <w:sz w:val="20"/>
          <w:szCs w:val="20"/>
        </w:rPr>
        <w:t>:</w:t>
      </w:r>
    </w:p>
    <w:p w:rsidR="00000000" w:rsidRDefault="006D723D">
      <w:pPr>
        <w:pStyle w:val="a3"/>
        <w:spacing w:before="0" w:beforeAutospacing="0" w:after="0" w:afterAutospacing="0"/>
        <w:jc w:val="both"/>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464"/>
        <w:gridCol w:w="110"/>
        <w:gridCol w:w="160"/>
        <w:gridCol w:w="657"/>
        <w:gridCol w:w="260"/>
        <w:gridCol w:w="110"/>
        <w:gridCol w:w="160"/>
        <w:gridCol w:w="651"/>
        <w:gridCol w:w="242"/>
      </w:tblGrid>
      <w:tr w:rsidR="00000000">
        <w:trPr>
          <w:tblCellSpacing w:w="15" w:type="dxa"/>
        </w:trPr>
        <w:tc>
          <w:tcPr>
            <w:tcW w:w="3183" w:type="pct"/>
            <w:vAlign w:val="center"/>
            <w:hideMark/>
          </w:tcPr>
          <w:p w:rsidR="00000000" w:rsidRDefault="006D723D">
            <w:pPr>
              <w:rPr>
                <w:sz w:val="20"/>
                <w:szCs w:val="20"/>
              </w:rPr>
            </w:pPr>
          </w:p>
        </w:tc>
        <w:tc>
          <w:tcPr>
            <w:tcW w:w="7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73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7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72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6D723D">
            <w:pPr>
              <w:pStyle w:val="a3"/>
              <w:spacing w:before="0" w:beforeAutospacing="0" w:after="0" w:afterAutospacing="0"/>
              <w:jc w:val="center"/>
              <w:rPr>
                <w:sz w:val="16"/>
                <w:szCs w:val="16"/>
              </w:rPr>
            </w:pPr>
            <w:r>
              <w:rPr>
                <w:sz w:val="16"/>
                <w:szCs w:val="16"/>
              </w:rPr>
              <w:t>For the Years Ended December 31</w:t>
            </w:r>
            <w:r>
              <w:rPr>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sz w:val="16"/>
                <w:szCs w:val="16"/>
              </w:rPr>
              <w:t>202</w:t>
            </w:r>
            <w:r>
              <w:rPr>
                <w:sz w:val="16"/>
                <w:szCs w:val="16"/>
              </w:rPr>
              <w:t>1</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Revenue per compensated man-da</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93.2</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89.8</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Operating expenses per compensated man-day</w:t>
            </w: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Fixed expens</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51.4</w:t>
            </w:r>
            <w:r>
              <w:rPr>
                <w:b/>
                <w:bCs/>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47.5</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Variable expens</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21.3</w:t>
            </w:r>
            <w:r>
              <w:rPr>
                <w:b/>
                <w:bCs/>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18.1</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400"/>
              <w:rPr>
                <w:sz w:val="20"/>
                <w:szCs w:val="20"/>
              </w:rPr>
            </w:pPr>
            <w:r>
              <w:rPr>
                <w:sz w:val="20"/>
                <w:szCs w:val="20"/>
              </w:rPr>
              <w:t>Tota</w:t>
            </w:r>
            <w:r>
              <w:rPr>
                <w:sz w:val="20"/>
                <w:szCs w:val="20"/>
              </w:rPr>
              <w:t>l</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72.7</w:t>
            </w:r>
            <w:r>
              <w:rPr>
                <w:b/>
                <w:bCs/>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65.6</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Operating income per compensated man-da</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20.5</w:t>
            </w:r>
            <w:r>
              <w:rPr>
                <w:b/>
                <w:bCs/>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24.1</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Operating margi</w:t>
            </w:r>
            <w:r>
              <w:rPr>
                <w:sz w:val="20"/>
                <w:szCs w:val="20"/>
              </w:rPr>
              <w:t>n</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22.</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26.</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Average compensated occupanc</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70.</w:t>
            </w:r>
            <w:r>
              <w:rPr>
                <w:b/>
                <w:bCs/>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71.</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Average available bed</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73,16</w:t>
            </w:r>
            <w:r>
              <w:rPr>
                <w:b/>
                <w:bCs/>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74,95</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Average compensated populatio</w:t>
            </w:r>
            <w:r>
              <w:rPr>
                <w:sz w:val="20"/>
                <w:szCs w:val="20"/>
              </w:rPr>
              <w:t>n</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51,44</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53,61</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bl>
    <w:p w:rsidR="00000000" w:rsidRDefault="006D723D">
      <w:pPr>
        <w:pStyle w:val="a3"/>
        <w:spacing w:before="360" w:beforeAutospacing="0" w:after="0" w:afterAutospacing="0"/>
        <w:jc w:val="both"/>
        <w:rPr>
          <w:sz w:val="20"/>
          <w:szCs w:val="20"/>
        </w:rPr>
      </w:pPr>
      <w:r>
        <w:rPr>
          <w:i/>
          <w:iCs/>
          <w:sz w:val="20"/>
          <w:szCs w:val="20"/>
        </w:rPr>
        <w:t>Revenu</w:t>
      </w:r>
      <w:r>
        <w:rPr>
          <w:i/>
          <w:iCs/>
          <w:sz w:val="20"/>
          <w:szCs w:val="20"/>
        </w:rPr>
        <w:t>e</w:t>
      </w:r>
      <w:r>
        <w:rPr>
          <w:sz w:val="20"/>
          <w:szCs w:val="20"/>
        </w:rPr>
        <w:t xml:space="preserve"> </w:t>
      </w:r>
    </w:p>
    <w:p w:rsidR="00000000" w:rsidRDefault="006D723D">
      <w:pPr>
        <w:pStyle w:val="a3"/>
        <w:spacing w:before="120" w:beforeAutospacing="0" w:after="0" w:afterAutospacing="0"/>
        <w:jc w:val="both"/>
        <w:rPr>
          <w:sz w:val="20"/>
          <w:szCs w:val="20"/>
        </w:rPr>
      </w:pPr>
      <w:r>
        <w:rPr>
          <w:sz w:val="20"/>
          <w:szCs w:val="20"/>
        </w:rPr>
        <w:t>Total revenue consists of management revenue we generate through CoreCivic Safety and CoreCivic Community in the operation of correctional, detention, and residential reentry facilities, as well as the revenue we generate from TransCor and our electronic m</w:t>
      </w:r>
      <w:r>
        <w:rPr>
          <w:sz w:val="20"/>
          <w:szCs w:val="20"/>
        </w:rPr>
        <w:t>onitoring and case management services. Total revenue also consists of lease revenue we generate through CoreCivic Properties from facilities we lease to government agencies. The following table reflects the components of revenue for the years ended Decemb</w:t>
      </w:r>
      <w:r>
        <w:rPr>
          <w:sz w:val="20"/>
          <w:szCs w:val="20"/>
        </w:rPr>
        <w:t>er 31, 2022 and 2021 (in millions)</w:t>
      </w:r>
      <w:r>
        <w:rPr>
          <w:sz w:val="20"/>
          <w:szCs w:val="20"/>
        </w:rPr>
        <w:t>:</w:t>
      </w:r>
    </w:p>
    <w:p w:rsidR="00000000" w:rsidRDefault="006D723D">
      <w:pPr>
        <w:pStyle w:val="a3"/>
        <w:spacing w:before="0" w:beforeAutospacing="0" w:after="0" w:afterAutospacing="0"/>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79"/>
        <w:gridCol w:w="110"/>
        <w:gridCol w:w="160"/>
        <w:gridCol w:w="660"/>
        <w:gridCol w:w="110"/>
        <w:gridCol w:w="110"/>
        <w:gridCol w:w="160"/>
        <w:gridCol w:w="660"/>
        <w:gridCol w:w="110"/>
        <w:gridCol w:w="110"/>
        <w:gridCol w:w="161"/>
        <w:gridCol w:w="612"/>
        <w:gridCol w:w="127"/>
        <w:gridCol w:w="110"/>
        <w:gridCol w:w="110"/>
        <w:gridCol w:w="477"/>
        <w:gridCol w:w="309"/>
      </w:tblGrid>
      <w:tr w:rsidR="00000000">
        <w:trPr>
          <w:tblCellSpacing w:w="15" w:type="dxa"/>
        </w:trPr>
        <w:tc>
          <w:tcPr>
            <w:tcW w:w="2448" w:type="pct"/>
            <w:vAlign w:val="center"/>
            <w:hideMark/>
          </w:tcPr>
          <w:p w:rsidR="00000000" w:rsidRDefault="006D723D">
            <w:pPr>
              <w:rPr>
                <w:sz w:val="20"/>
                <w:szCs w:val="20"/>
              </w:rPr>
            </w:pPr>
          </w:p>
        </w:tc>
        <w:tc>
          <w:tcPr>
            <w:tcW w:w="5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67"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75"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65"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1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6D723D">
            <w:pPr>
              <w:pStyle w:val="a3"/>
              <w:spacing w:before="0" w:beforeAutospacing="0" w:after="0" w:afterAutospacing="0"/>
              <w:jc w:val="center"/>
              <w:rPr>
                <w:sz w:val="16"/>
                <w:szCs w:val="16"/>
              </w:rPr>
            </w:pPr>
            <w:r>
              <w:rPr>
                <w:sz w:val="16"/>
                <w:szCs w:val="16"/>
              </w:rPr>
              <w:t>For the Years Ended December 31</w:t>
            </w:r>
            <w:r>
              <w:rPr>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sz w:val="16"/>
                <w:szCs w:val="16"/>
              </w:rPr>
              <w:t>202</w:t>
            </w:r>
            <w:r>
              <w:rPr>
                <w:sz w:val="16"/>
                <w:szCs w:val="16"/>
              </w:rPr>
              <w:t>1</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Management revenue</w:t>
            </w: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Federa</w:t>
            </w:r>
            <w:r>
              <w:rPr>
                <w:sz w:val="20"/>
                <w:szCs w:val="20"/>
              </w:rPr>
              <w:t>l</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994.</w:t>
            </w:r>
            <w:r>
              <w:rPr>
                <w:b/>
                <w:bCs/>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1,050.</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(56.</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Stat</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669.</w:t>
            </w:r>
            <w:r>
              <w:rPr>
                <w:b/>
                <w:bCs/>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602.</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67.</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11.</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Loca</w:t>
            </w:r>
            <w:r>
              <w:rPr>
                <w:sz w:val="20"/>
                <w:szCs w:val="20"/>
              </w:rPr>
              <w:t>l</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35.</w:t>
            </w:r>
            <w:r>
              <w:rPr>
                <w:b/>
                <w:bCs/>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51.</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(16.</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(31.</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Othe</w:t>
            </w:r>
            <w:r>
              <w:rPr>
                <w:sz w:val="20"/>
                <w:szCs w:val="20"/>
              </w:rPr>
              <w:t>r</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87.</w:t>
            </w:r>
            <w:r>
              <w:rPr>
                <w:b/>
                <w:bCs/>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89.</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ind w:left="400"/>
              <w:rPr>
                <w:sz w:val="20"/>
                <w:szCs w:val="20"/>
              </w:rPr>
            </w:pPr>
            <w:r>
              <w:rPr>
                <w:sz w:val="20"/>
                <w:szCs w:val="20"/>
              </w:rPr>
              <w:t>Total management revenu</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1,787.</w:t>
            </w:r>
            <w:r>
              <w:rPr>
                <w:b/>
                <w:bCs/>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1,793.</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(0.</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Lease revenu</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57.</w:t>
            </w:r>
            <w:r>
              <w:rPr>
                <w:b/>
                <w:bCs/>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68.</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(11.</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(16.</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Other revenu</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0.</w:t>
            </w:r>
            <w:r>
              <w:rPr>
                <w:b/>
                <w:bCs/>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0.</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(0.</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(66.</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Total revenu</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1,845.</w:t>
            </w:r>
            <w:r>
              <w:rPr>
                <w:b/>
                <w:bCs/>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1,862.</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(17.</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(0.</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r>
              <w:rPr>
                <w:sz w:val="20"/>
                <w:szCs w:val="20"/>
              </w:rPr>
              <w:t>)</w:t>
            </w:r>
          </w:p>
        </w:tc>
      </w:tr>
    </w:tbl>
    <w:p w:rsidR="00000000" w:rsidRDefault="006D723D">
      <w:pPr>
        <w:pStyle w:val="a3"/>
        <w:spacing w:before="40" w:beforeAutospacing="0" w:after="0" w:afterAutospacing="0"/>
        <w:jc w:val="both"/>
        <w:rPr>
          <w:sz w:val="20"/>
          <w:szCs w:val="20"/>
        </w:rPr>
      </w:pPr>
      <w:r>
        <w:rPr>
          <w:sz w:val="20"/>
          <w:szCs w:val="20"/>
        </w:rPr>
        <w:t> </w:t>
      </w:r>
    </w:p>
    <w:p w:rsidR="00000000" w:rsidRDefault="006D723D">
      <w:pPr>
        <w:pStyle w:val="a3"/>
        <w:spacing w:before="240" w:beforeAutospacing="0" w:after="0" w:afterAutospacing="0"/>
        <w:jc w:val="center"/>
        <w:rPr>
          <w:sz w:val="20"/>
          <w:szCs w:val="20"/>
        </w:rPr>
      </w:pPr>
      <w:r>
        <w:rPr>
          <w:sz w:val="20"/>
          <w:szCs w:val="20"/>
        </w:rPr>
        <w:t>7</w:t>
      </w:r>
      <w:r>
        <w:rPr>
          <w:sz w:val="20"/>
          <w:szCs w:val="20"/>
        </w:rPr>
        <w:t>3</w:t>
      </w:r>
    </w:p>
    <w:p w:rsidR="00000000" w:rsidRDefault="006D723D">
      <w:pPr>
        <w:rPr>
          <w:rFonts w:eastAsia="Times New Roman"/>
        </w:rPr>
      </w:pPr>
      <w:r>
        <w:rPr>
          <w:rFonts w:eastAsia="Times New Roman"/>
        </w:rPr>
        <w:pict>
          <v:rect id="_x0000_i1097"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40" w:beforeAutospacing="0" w:after="0" w:afterAutospacing="0"/>
        <w:jc w:val="both"/>
        <w:rPr>
          <w:sz w:val="20"/>
          <w:szCs w:val="20"/>
        </w:rPr>
      </w:pPr>
      <w:r>
        <w:rPr>
          <w:sz w:val="20"/>
          <w:szCs w:val="20"/>
        </w:rPr>
        <w:t xml:space="preserve">The $6.1 million, or 0.3%, decrease in total management revenue was primarily a result of a decrease in revenue of approximately $71.1 million driven primarily by a decrease in the average daily compensated population </w:t>
      </w:r>
      <w:r>
        <w:rPr>
          <w:sz w:val="20"/>
          <w:szCs w:val="20"/>
        </w:rPr>
        <w:t>from 2021 to 2022. The decrease in management revenue was partially offset by an increase in revenue of approximately $63.7 million driven primarily by an increase of 3.8% in average revenue per compensated man-day. The increase in average revenue per comp</w:t>
      </w:r>
      <w:r>
        <w:rPr>
          <w:sz w:val="20"/>
          <w:szCs w:val="20"/>
        </w:rPr>
        <w:t>ensated man-day resulted from the effect of per diem increases at several of our facilities.</w:t>
      </w:r>
      <w:r>
        <w:rPr>
          <w:sz w:val="20"/>
          <w:szCs w:val="20"/>
        </w:rPr>
        <w:t xml:space="preserve"> </w:t>
      </w:r>
      <w:r>
        <w:rPr>
          <w:sz w:val="20"/>
          <w:szCs w:val="20"/>
        </w:rPr>
        <w:t>We believe the impact of these per diem increases will provide further benefit to our operating margins as residential populations recover from the impact of COVID</w:t>
      </w:r>
      <w:r>
        <w:rPr>
          <w:sz w:val="20"/>
          <w:szCs w:val="20"/>
        </w:rPr>
        <w:t>-19 and will help offset the wage and employee benefit increases we have been incurring, as further discussed hereinafter.</w:t>
      </w:r>
      <w:r>
        <w:rPr>
          <w:sz w:val="20"/>
          <w:szCs w:val="20"/>
        </w:rPr>
        <w:t xml:space="preserve"> </w:t>
      </w:r>
      <w:r>
        <w:rPr>
          <w:sz w:val="20"/>
          <w:szCs w:val="20"/>
        </w:rPr>
        <w:t xml:space="preserve">Revenue generated from our electronic monitoring and case management services during 2022 increased $1.3 million (from $34.9 million </w:t>
      </w:r>
      <w:r>
        <w:rPr>
          <w:sz w:val="20"/>
          <w:szCs w:val="20"/>
        </w:rPr>
        <w:t>during 2021 to $36.2 million during 2022)</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Average daily compensated population decreased 2,167, or 4.0%, to 51,446 in 2022 compared to 53,613 in 2021. The decrease in average daily compensated population was a result of the contract terminations at our 6</w:t>
      </w:r>
      <w:r>
        <w:rPr>
          <w:sz w:val="20"/>
          <w:szCs w:val="20"/>
        </w:rPr>
        <w:t>00-bed West Tennessee Detention Facility effective September 30, 2021, at our 1,033-bed Midwest Regional Reception Center (formerly known as the Leavenworth Detention Center) effective December 31, 2021, and at the 1,030-bed managed-only Marion County Jail</w:t>
      </w:r>
      <w:r>
        <w:rPr>
          <w:sz w:val="20"/>
          <w:szCs w:val="20"/>
        </w:rPr>
        <w:t xml:space="preserve"> effective January 31, 2022, all as further described hereinafter. In addition, the decrease in average daily compensated population also resulted from the three-year lease agreement we entered into with the state of New Mexico under which the state of New</w:t>
      </w:r>
      <w:r>
        <w:rPr>
          <w:sz w:val="20"/>
          <w:szCs w:val="20"/>
        </w:rPr>
        <w:t xml:space="preserve"> Mexico began leasing our 596-bed Northwest New Mexico Correctional Center on November 1, 2021. We previously operated the Northwest New Mexico facility in our Safety segment under a contract with the state of New Mexico. Further, a decrease in ICE populat</w:t>
      </w:r>
      <w:r>
        <w:rPr>
          <w:sz w:val="20"/>
          <w:szCs w:val="20"/>
        </w:rPr>
        <w:t>ions at our La Palma Correctional Center was partially offset by an increase in state populations as the state of Arizona continued to ramp-up populations through most of 2022 pursuant to a new management contract that commenced in April 2022. The transiti</w:t>
      </w:r>
      <w:r>
        <w:rPr>
          <w:sz w:val="20"/>
          <w:szCs w:val="20"/>
        </w:rPr>
        <w:t>on to the state residents from the state of Arizona was substantially completed in the fourth quarter of 2022. These factors, which contributed, in the aggregate, to the decrease in average daily compensated population were partially offset by increases in</w:t>
      </w:r>
      <w:r>
        <w:rPr>
          <w:sz w:val="20"/>
          <w:szCs w:val="20"/>
        </w:rPr>
        <w:t xml:space="preserve"> other state populations as states continue to recover from COVID-19 and operations of criminal justice systems continue to return to pre-COVID-19 operations</w:t>
      </w:r>
      <w:r>
        <w:rPr>
          <w:sz w:val="20"/>
          <w:szCs w:val="20"/>
        </w:rPr>
        <w:t>.</w:t>
      </w:r>
    </w:p>
    <w:p w:rsidR="00000000" w:rsidRDefault="006D723D">
      <w:pPr>
        <w:pStyle w:val="a3"/>
        <w:spacing w:before="240" w:beforeAutospacing="0" w:after="0" w:afterAutospacing="0"/>
        <w:jc w:val="both"/>
        <w:rPr>
          <w:sz w:val="20"/>
          <w:szCs w:val="20"/>
        </w:rPr>
      </w:pPr>
      <w:r>
        <w:rPr>
          <w:sz w:val="20"/>
          <w:szCs w:val="20"/>
        </w:rPr>
        <w:t>The solutions we provide to our federal customers, including primarily ICE, the USMS, and the BOP, continue to be a significant component of our business. The federal customers in our Safety and Community segments generated approximately 54% and 56% of our</w:t>
      </w:r>
      <w:r>
        <w:rPr>
          <w:sz w:val="20"/>
          <w:szCs w:val="20"/>
        </w:rPr>
        <w:t xml:space="preserve"> total revenue in 2022 and 2021, respectively, decreasing $56.0 million, or 5.3%, in 2022 from 2021</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 xml:space="preserve">The decision near the end of the first quarter of 2020 by the federal government to deny entry at the United States southern border to asylum-seekers and </w:t>
      </w:r>
      <w:r>
        <w:rPr>
          <w:sz w:val="20"/>
          <w:szCs w:val="20"/>
        </w:rPr>
        <w:t>anyone crossing the southern border without proper documentation or authority in an effort to contain the spread of COVID-19, a policy known as Title 42, resulted in a reduction in people being apprehended and detained by ICE. The financial impact was some</w:t>
      </w:r>
      <w:r>
        <w:rPr>
          <w:sz w:val="20"/>
          <w:szCs w:val="20"/>
        </w:rPr>
        <w:t>what mitigated by fixed monthly payments from ICE at certain of our facilities, to ensure ICE has adequate bed capacity in the event of a surge in the future. During 2021, revenue from ICE was $552.2 million compared to $542.0 million during 2020, and comp</w:t>
      </w:r>
      <w:r>
        <w:rPr>
          <w:sz w:val="20"/>
          <w:szCs w:val="20"/>
        </w:rPr>
        <w:t>ared to $579.5 million during 2019, prior to the implementation of Title 42. During 2022, revenue from ICE was $527.3 million. Revenue from ICE declined from 2021 to 2022 as a result of a decrease in detainees at our La Palma facility, where we transitione</w:t>
      </w:r>
      <w:r>
        <w:rPr>
          <w:sz w:val="20"/>
          <w:szCs w:val="20"/>
        </w:rPr>
        <w:t>d from an ICE population to a population of residents from the state of Arizona, pursuant to a new management contract that commenced in April 2022. The transfer process at our La Palma facility was substantially completed during the fourth quarter of 2022</w:t>
      </w:r>
      <w:r>
        <w:rPr>
          <w:sz w:val="20"/>
          <w:szCs w:val="20"/>
        </w:rPr>
        <w:t>. During 2022, revenue from ICE at the La Palma facility was $33.2 million compared with $78.1 million during 2021. Upon full utilization of the new contract, we expect to generate approximately $75.0 million to $85.0 million in annualized revenue at the L</w:t>
      </w:r>
      <w:r>
        <w:rPr>
          <w:sz w:val="20"/>
          <w:szCs w:val="20"/>
        </w:rPr>
        <w:t>a Palma facility. On April 1, 2022, the CDC issued a Public Health Determination terminating Title 42 with an effective date of May 23, 2022. However, on April 25, 2022, a federal judge issued a temporary restraining order blocking the termination of Title</w:t>
      </w:r>
      <w:r>
        <w:rPr>
          <w:sz w:val="20"/>
          <w:szCs w:val="20"/>
        </w:rPr>
        <w:t xml:space="preserve"> 42, and on May 20, 2022, ruled that the Biden administration violated administrative law when it announced that it planned to cease Title 42. On November 15, 2022, another federal judge ruled that expulsions under Title 42 were a violation of the Administ</w:t>
      </w:r>
      <w:r>
        <w:rPr>
          <w:sz w:val="20"/>
          <w:szCs w:val="20"/>
        </w:rPr>
        <w:t>rative Procedure Act, noting that Title 42 was an "arbitrary and capricious" violation of the Act, requiring the federal government to process all asylum seekers under applicable immigration law in effect prior to the implementation of Title 42. However, o</w:t>
      </w:r>
      <w:r>
        <w:rPr>
          <w:sz w:val="20"/>
          <w:szCs w:val="20"/>
        </w:rPr>
        <w:t>n December 19, 2022, the Supreme Court temporarily maintained Title 42, and on December 27, 2022, granted a temporary stay on the cessation of Title 42, while it considers an appeal by a group of states seeking to continue Title 42. If Title 42 is terminat</w:t>
      </w:r>
      <w:r>
        <w:rPr>
          <w:sz w:val="20"/>
          <w:szCs w:val="20"/>
        </w:rPr>
        <w:t>ed, such action may result in an increase in the number of undocumented people permitted to enter the United States claiming asylum, and could result in an increase in the number of people apprehended and detained by ICE</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7</w:t>
      </w:r>
      <w:r>
        <w:rPr>
          <w:sz w:val="20"/>
          <w:szCs w:val="20"/>
        </w:rPr>
        <w:t>4</w:t>
      </w:r>
    </w:p>
    <w:p w:rsidR="00000000" w:rsidRDefault="006D723D">
      <w:pPr>
        <w:rPr>
          <w:rFonts w:eastAsia="Times New Roman"/>
        </w:rPr>
      </w:pPr>
      <w:r>
        <w:rPr>
          <w:rFonts w:eastAsia="Times New Roman"/>
        </w:rPr>
        <w:pict>
          <v:rect id="_x0000_i1098"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The number of people apprehended by ICE could also increase if the federal government prevails over its attempt to reverse the MPP implemented by the Trump administration, or the Mexican government declines to participate in such a practice. As pre</w:t>
      </w:r>
      <w:r>
        <w:rPr>
          <w:sz w:val="20"/>
          <w:szCs w:val="20"/>
        </w:rPr>
        <w:t>viously described, litigation over MPP is ongoing. On April 26, 2022, the Supreme Court heard arguments on MPP, and on June 30, 2022, the Supreme Court ruled that immigration law gives the federal government the discretion to end the program. The Supreme C</w:t>
      </w:r>
      <w:r>
        <w:rPr>
          <w:sz w:val="20"/>
          <w:szCs w:val="20"/>
        </w:rPr>
        <w:t>ourt also indicated that lower courts must now determine whether issuing the memorandum asserting the termination of MPP complied with administrative law, although the Supreme Court found that the order was a proper agency action. On December 13, 2022, a f</w:t>
      </w:r>
      <w:r>
        <w:rPr>
          <w:sz w:val="20"/>
          <w:szCs w:val="20"/>
        </w:rPr>
        <w:t>ederal judge in Texas ruled that the Biden administration's attempt to end MPP was invalid, saying the administration did not follow the proper administrative procedure in ending the policy. The effect of the ruling remains unclear, as Mexico has not agree</w:t>
      </w:r>
      <w:r>
        <w:rPr>
          <w:sz w:val="20"/>
          <w:szCs w:val="20"/>
        </w:rPr>
        <w:t>d to cooperate with the U.S. to reinstate such practices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State revenues from contracts at correctional, detention, and residential reentry facilities that we operate increased $67.1 million, or 11.1%, from 2021 to 2022. State revenues increased primarily</w:t>
      </w:r>
      <w:r>
        <w:rPr>
          <w:sz w:val="20"/>
          <w:szCs w:val="20"/>
        </w:rPr>
        <w:t xml:space="preserve"> as a result of the new management contract with the state of Arizona at our 3,060-bed La Palma Correctional Center for up to 2,706 inmates, as the state transferred inmate populations from public sector facilities into our La Palma facility. We began rece</w:t>
      </w:r>
      <w:r>
        <w:rPr>
          <w:sz w:val="20"/>
          <w:szCs w:val="20"/>
        </w:rPr>
        <w:t xml:space="preserve">iving inmates from the state of Arizona in April 2022 and the transfer process was substantially completed in the fourth quarter of 2022. Before the new award, the La Palma facility supported the mission of ICE by caring for approximately 1,800 detainees. </w:t>
      </w:r>
      <w:r>
        <w:rPr>
          <w:sz w:val="20"/>
          <w:szCs w:val="20"/>
        </w:rPr>
        <w:t>State revenues also increased because of an amended contract with the state of Montana to utilize all of the capacity at the Crossroads Correctional Center, including the space vacated by the USMS, as previously discussed herein. In addition, state revenue</w:t>
      </w:r>
      <w:r>
        <w:rPr>
          <w:sz w:val="20"/>
          <w:szCs w:val="20"/>
        </w:rPr>
        <w:t>s increased as a result of higher state inmate populations at other facilities, and from per diem increases under a number of our state contracts, as certain states have recognized the need to provide additional funding to address increases in the wages of</w:t>
      </w:r>
      <w:r>
        <w:rPr>
          <w:sz w:val="20"/>
          <w:szCs w:val="20"/>
        </w:rPr>
        <w:t xml:space="preserve"> our employees. The increase in state revenues was partially offset by the effect of the new lease agreement between us and the state of New Mexico at our Northwest New Mexico Correctional Center effective November 1, 2021. We previously operated the facil</w:t>
      </w:r>
      <w:r>
        <w:rPr>
          <w:sz w:val="20"/>
          <w:szCs w:val="20"/>
        </w:rPr>
        <w:t>ity in our Safety segment under a contract with the state of New Mexico; however, as a result of our new lease agreement, the Northwest New Mexico facility is now a part of our Properties segment. Excluding state inmate populations at the Northwest New Mex</w:t>
      </w:r>
      <w:r>
        <w:rPr>
          <w:sz w:val="20"/>
          <w:szCs w:val="20"/>
        </w:rPr>
        <w:t>ico facility, average daily state inmate populations increased from 27,188 during 2021 to 28,367 during 2022</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Local revenues from contracts at correctional, detention, and residential reentry facilities that we operate decreased $16.0 million, or 31.1%, f</w:t>
      </w:r>
      <w:r>
        <w:rPr>
          <w:sz w:val="20"/>
          <w:szCs w:val="20"/>
        </w:rPr>
        <w:t xml:space="preserve">rom 2021 to 2022. The decrease in local revenue is primarily a result of the contract termination at the 1,030-bed managed-only Marion County Jail on January 31, 2022. This facility contributed $18.7 million to the reduction in local revenues from 2021 to </w:t>
      </w:r>
      <w:r>
        <w:rPr>
          <w:sz w:val="20"/>
          <w:szCs w:val="20"/>
        </w:rPr>
        <w:t>2022</w:t>
      </w:r>
      <w:r>
        <w:rPr>
          <w:sz w:val="20"/>
          <w:szCs w:val="20"/>
        </w:rPr>
        <w:t>.</w:t>
      </w:r>
    </w:p>
    <w:p w:rsidR="00000000" w:rsidRDefault="006D723D">
      <w:pPr>
        <w:pStyle w:val="a3"/>
        <w:spacing w:before="240" w:beforeAutospacing="0" w:after="0" w:afterAutospacing="0"/>
        <w:jc w:val="both"/>
        <w:rPr>
          <w:sz w:val="20"/>
          <w:szCs w:val="20"/>
        </w:rPr>
      </w:pPr>
      <w:r>
        <w:rPr>
          <w:sz w:val="20"/>
          <w:szCs w:val="20"/>
        </w:rPr>
        <w:t>The $11.0 million, or 16.0%, decrease in lease revenue from 2022 to 2021 was primarily a result of the sale of three actively leased properties during the second quarter of 2021 and two actively leased properties during the third quarter of 2022, all</w:t>
      </w:r>
      <w:r>
        <w:rPr>
          <w:sz w:val="20"/>
          <w:szCs w:val="20"/>
        </w:rPr>
        <w:t xml:space="preserve"> as further described hereinafter. The decrease in lease revenue was partially offset by the lease revenue generated from the commencement of the lease of the 596-bed Northwest New Mexico Correctional Center to the state of New Mexico effective November 1,</w:t>
      </w:r>
      <w:r>
        <w:rPr>
          <w:sz w:val="20"/>
          <w:szCs w:val="20"/>
        </w:rPr>
        <w:t xml:space="preserve"> 2021, which was previously operated as a facility in our Safety segment but is now part of our Properties segment</w:t>
      </w:r>
      <w:r>
        <w:rPr>
          <w:sz w:val="20"/>
          <w:szCs w:val="20"/>
        </w:rPr>
        <w:t>.</w:t>
      </w:r>
    </w:p>
    <w:p w:rsidR="00000000" w:rsidRDefault="006D723D">
      <w:pPr>
        <w:pStyle w:val="a3"/>
        <w:spacing w:before="360" w:beforeAutospacing="0" w:after="0" w:afterAutospacing="0"/>
        <w:jc w:val="both"/>
        <w:rPr>
          <w:sz w:val="20"/>
          <w:szCs w:val="20"/>
        </w:rPr>
      </w:pPr>
      <w:r>
        <w:rPr>
          <w:i/>
          <w:iCs/>
          <w:sz w:val="20"/>
          <w:szCs w:val="20"/>
        </w:rPr>
        <w:t>Operating Expense</w:t>
      </w:r>
      <w:r>
        <w:rPr>
          <w:i/>
          <w:iCs/>
          <w:sz w:val="20"/>
          <w:szCs w:val="20"/>
        </w:rPr>
        <w:t>s</w:t>
      </w:r>
      <w:r>
        <w:rPr>
          <w:i/>
          <w:iCs/>
          <w:sz w:val="20"/>
          <w:szCs w:val="20"/>
        </w:rPr>
        <w:t xml:space="preserve"> </w:t>
      </w:r>
    </w:p>
    <w:p w:rsidR="00000000" w:rsidRDefault="006D723D">
      <w:pPr>
        <w:pStyle w:val="a3"/>
        <w:spacing w:before="120" w:beforeAutospacing="0" w:after="0" w:afterAutospacing="0"/>
        <w:jc w:val="both"/>
        <w:rPr>
          <w:sz w:val="20"/>
          <w:szCs w:val="20"/>
        </w:rPr>
      </w:pPr>
      <w:r>
        <w:rPr>
          <w:sz w:val="20"/>
          <w:szCs w:val="20"/>
        </w:rPr>
        <w:t>Operating expenses totaled $1,413.8 million and $1,337.1 million in 2022 and 2021, respectively. Operating expenses consist of those expenses incurred in the operation and management of correctional, detention, and residential reentry facilities, as well a</w:t>
      </w:r>
      <w:r>
        <w:rPr>
          <w:sz w:val="20"/>
          <w:szCs w:val="20"/>
        </w:rPr>
        <w:t>s those expenses incurred in the operations of TransCor and our electronic monitoring and case management services. Operating expenses also consist of those expenses incurred in the operation of facilities we lease to third-party operators</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7</w:t>
      </w:r>
      <w:r>
        <w:rPr>
          <w:sz w:val="20"/>
          <w:szCs w:val="20"/>
        </w:rPr>
        <w:t>5</w:t>
      </w:r>
    </w:p>
    <w:p w:rsidR="00000000" w:rsidRDefault="006D723D">
      <w:pPr>
        <w:rPr>
          <w:rFonts w:eastAsia="Times New Roman"/>
        </w:rPr>
      </w:pPr>
      <w:r>
        <w:rPr>
          <w:rFonts w:eastAsia="Times New Roman"/>
        </w:rPr>
        <w:pict>
          <v:rect id="_x0000_i1099"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Operating expenses incurred by CoreCivic Safety and CoreCivic Community in connection with the operation and management of our correctional, detention, and residential reentry facilities, as well as those incurred in the operati</w:t>
      </w:r>
      <w:r>
        <w:rPr>
          <w:sz w:val="20"/>
          <w:szCs w:val="20"/>
        </w:rPr>
        <w:t>ons of TransCor and our electronic monitoring and case management services, increased $81.0 million, or 6.1%, during 2022 compared with 2021. Operating expenses increased primarily as a result of wage and employee benefits increases and related incremental</w:t>
      </w:r>
      <w:r>
        <w:rPr>
          <w:sz w:val="20"/>
          <w:szCs w:val="20"/>
        </w:rPr>
        <w:t xml:space="preserve"> expenses resulting from labor shortages and wage pressures, as further described hereinafter. We achieved higher staffing levels and, during 2022, we incurred $20.2 million more in temporary incentives than in the prior year to attract and retain facility</w:t>
      </w:r>
      <w:r>
        <w:rPr>
          <w:sz w:val="20"/>
          <w:szCs w:val="20"/>
        </w:rPr>
        <w:t xml:space="preserve"> staff in this challenging labor market. We believe these investments in staffing are preparing us to manage the increased number of residents we anticipate at our facilities once the remaining occupancy restrictions caused by the COVID-19 pandemic are rem</w:t>
      </w:r>
      <w:r>
        <w:rPr>
          <w:sz w:val="20"/>
          <w:szCs w:val="20"/>
        </w:rPr>
        <w:t>oved. We expect to continue to invest in staffing resources during 2023, which may result in additional compensation and incremental expenses. The benefits of our investments in staffing may not be realized immediately or at all. As the labor market improv</w:t>
      </w:r>
      <w:r>
        <w:rPr>
          <w:sz w:val="20"/>
          <w:szCs w:val="20"/>
        </w:rPr>
        <w:t>es, which we believe will take some additional time, we expect to reduce our reliance on these temporary incentives. Additionally, operating expenses increased as a result of expenses incurred as we transitioned inmate populations at our La Palma Correctio</w:t>
      </w:r>
      <w:r>
        <w:rPr>
          <w:sz w:val="20"/>
          <w:szCs w:val="20"/>
        </w:rPr>
        <w:t>nal Center as a result of a new contract with the state of Arizona. The increase in operating expenses was net of employee retention credits available under the Coronavirus Aid, Relief and Economic Security Act, or CARES Act, amounting to $7.0 million, ref</w:t>
      </w:r>
      <w:r>
        <w:rPr>
          <w:sz w:val="20"/>
          <w:szCs w:val="20"/>
        </w:rPr>
        <w:t>lected in 2022. The increase in operating expenses was also partially offset by the contract terminations at our 600-bed West Tennessee Detention Facility effective September 30, 2021, at our 1,033-bed Midwest Regional Reception Center (formerly known as t</w:t>
      </w:r>
      <w:r>
        <w:rPr>
          <w:sz w:val="20"/>
          <w:szCs w:val="20"/>
        </w:rPr>
        <w:t>he Leavenworth Detention Center) effective December 31, 2021, and at the 1,030-bed managed-only Marion County Jail effective January 31, 2022. In addition, the increase in operating expenses was partially offset by the three-year lease agreement we entered</w:t>
      </w:r>
      <w:r>
        <w:rPr>
          <w:sz w:val="20"/>
          <w:szCs w:val="20"/>
        </w:rPr>
        <w:t xml:space="preserve"> into with the state of New Mexico at our 596-bed Northwest New Mexico Correctional Center effective November 1, 2021. We previously operated the Northwest New Mexico facility in our Safety segment</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Total expenses per compensated man-day increased to $72.</w:t>
      </w:r>
      <w:r>
        <w:rPr>
          <w:sz w:val="20"/>
          <w:szCs w:val="20"/>
        </w:rPr>
        <w:t>72 during 2022 from $65.67 during 2021. Fixed expenses per compensated man-day increased to $51.41 during 2022 from $47.51 during 2021. We have experienced labor shortages and wage pressures in many markets across the country, and have provided customary i</w:t>
      </w:r>
      <w:r>
        <w:rPr>
          <w:sz w:val="20"/>
          <w:szCs w:val="20"/>
        </w:rPr>
        <w:t xml:space="preserve">nflationary wage increases to remain competitive. Recruiting has been particularly challenging during the pandemic due to the front-line nature of the services we provide, and the shortage of nursing staff across the country has intensified as a result of </w:t>
      </w:r>
      <w:r>
        <w:rPr>
          <w:sz w:val="20"/>
          <w:szCs w:val="20"/>
        </w:rPr>
        <w:t>the COVID-19 pandemic, resulting in a significant increase in registry nursing expenses. The challenges of recruiting and retaining staff, including nursing, has been and could continue to be exacerbated by actions taken or contemplated to be taken by gove</w:t>
      </w:r>
      <w:r>
        <w:rPr>
          <w:sz w:val="20"/>
          <w:szCs w:val="20"/>
        </w:rPr>
        <w:t>rnment authorities intended to mitigate the spread of COVID-19 such as health and safety directives or other requirements that apply to us and our facilities. Further, we have incurred, and expect to continue to incur, incremental expenses to help ensure s</w:t>
      </w:r>
      <w:r>
        <w:rPr>
          <w:sz w:val="20"/>
          <w:szCs w:val="20"/>
        </w:rPr>
        <w:t>ufficient staffing levels under unique and challenging working conditions. As mentioned in the preceding paragraph, we made investments and achieved higher staffing in 2022 and expect to continue to invest in increased staffing in 2023 to prepare us to man</w:t>
      </w:r>
      <w:r>
        <w:rPr>
          <w:sz w:val="20"/>
          <w:szCs w:val="20"/>
        </w:rPr>
        <w:t>age the increased number of residents we anticipate at our facilities once the remaining occupancy restrictions caused by the COVID-19 pandemic are removed. Incremental expenses include, but may not be limited to, incentive payments to our front-line and f</w:t>
      </w:r>
      <w:r>
        <w:rPr>
          <w:sz w:val="20"/>
          <w:szCs w:val="20"/>
        </w:rPr>
        <w:t>ield staff, temporary employee housing expenses and other travel related reimbursements, additional paid time off, off-cycle wage increases in certain markets to remain competitive, further increases in registry nursing expenses, as well as expenses to pro</w:t>
      </w:r>
      <w:r>
        <w:rPr>
          <w:sz w:val="20"/>
          <w:szCs w:val="20"/>
        </w:rPr>
        <w:t>cure personal protective equipment and other supplies. The increase in fixed expenses per compensated man-day also resulted from leveraging our fixed expenses over lower compensated populations, as well as expenses incurred during the aforementioned transi</w:t>
      </w:r>
      <w:r>
        <w:rPr>
          <w:sz w:val="20"/>
          <w:szCs w:val="20"/>
        </w:rPr>
        <w:t>tion of populations at our La Palma facility</w:t>
      </w:r>
      <w:r>
        <w:rPr>
          <w:sz w:val="20"/>
          <w:szCs w:val="20"/>
        </w:rPr>
        <w:t>.</w:t>
      </w:r>
    </w:p>
    <w:p w:rsidR="00000000" w:rsidRDefault="006D723D">
      <w:pPr>
        <w:pStyle w:val="a3"/>
        <w:spacing w:before="240" w:beforeAutospacing="0" w:after="0" w:afterAutospacing="0"/>
        <w:jc w:val="both"/>
        <w:rPr>
          <w:sz w:val="20"/>
          <w:szCs w:val="20"/>
        </w:rPr>
      </w:pPr>
      <w:r>
        <w:rPr>
          <w:sz w:val="20"/>
          <w:szCs w:val="20"/>
        </w:rPr>
        <w:t>We continually monitor compensation levels very closely along with overall economic conditions and will adjust wage levels necessary to help ensure the long-term success of our business. Further, we continually</w:t>
      </w:r>
      <w:r>
        <w:rPr>
          <w:sz w:val="20"/>
          <w:szCs w:val="20"/>
        </w:rPr>
        <w:t xml:space="preserve"> evaluate the structure of our employee benefits package and training programs to ensure we are better able to attract and retain our employees. Salaries and benefits represent the most significant component of our operating expenses, representing approxim</w:t>
      </w:r>
      <w:r>
        <w:rPr>
          <w:sz w:val="20"/>
          <w:szCs w:val="20"/>
        </w:rPr>
        <w:t>ately 59% of our total operating expenses during 2022 and 2021. As previously mentioned herein, recruiting and retaining staff has become particularly challenging in the current employment market for us and for the corrections and detention industry as a w</w:t>
      </w:r>
      <w:r>
        <w:rPr>
          <w:sz w:val="20"/>
          <w:szCs w:val="20"/>
        </w:rPr>
        <w:t xml:space="preserve">hole. An inability to attract and retain sufficient personnel could prevent us from caring for additional residential populations for government agencies in need of additional capacity due to an increase in inmate populations or an inability to adequately </w:t>
      </w:r>
      <w:r>
        <w:rPr>
          <w:sz w:val="20"/>
          <w:szCs w:val="20"/>
        </w:rPr>
        <w:t>staff their facilities. An inability to attract and retain sufficient personnel in our existing facilities could also cause our government partners to assess liquidated damages, reduce our residential populations, or in extreme circumstances, cancel our co</w:t>
      </w:r>
      <w:r>
        <w:rPr>
          <w:sz w:val="20"/>
          <w:szCs w:val="20"/>
        </w:rPr>
        <w:t>ntracts. We have also been subjected to increasing staff vacancy deductions as a result of the labor shortages, which are reflected as reductions to other management revenue. Estimating vacancy deduction amounts can be complex and subject to management jud</w:t>
      </w:r>
      <w:r>
        <w:rPr>
          <w:sz w:val="20"/>
          <w:szCs w:val="20"/>
        </w:rPr>
        <w:t>gment an</w:t>
      </w:r>
      <w:r>
        <w:rPr>
          <w:sz w:val="20"/>
          <w:szCs w:val="20"/>
        </w:rPr>
        <w:t>d</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7</w:t>
      </w:r>
      <w:r>
        <w:rPr>
          <w:sz w:val="20"/>
          <w:szCs w:val="20"/>
        </w:rPr>
        <w:t>6</w:t>
      </w:r>
    </w:p>
    <w:p w:rsidR="00000000" w:rsidRDefault="006D723D">
      <w:pPr>
        <w:rPr>
          <w:rFonts w:eastAsia="Times New Roman"/>
        </w:rPr>
      </w:pPr>
      <w:r>
        <w:rPr>
          <w:rFonts w:eastAsia="Times New Roman"/>
        </w:rPr>
        <w:pict>
          <v:rect id="_x0000_i1100"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estimations. Some of our government partners have granted waivers for vacancy deductions in recognition of the unique and challenging labor market, while others have discretionarily adjusted such deductio</w:t>
      </w:r>
      <w:r>
        <w:rPr>
          <w:sz w:val="20"/>
          <w:szCs w:val="20"/>
        </w:rPr>
        <w:t>ns based on our extraordinary costs, efforts and incentive programs implemented to attract and retain staff</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Variable expenses per compensated man-day increased to $21.31 during 2022, from $18.16 during 2021. In addition to a high inflation rate applicabl</w:t>
      </w:r>
      <w:r>
        <w:rPr>
          <w:sz w:val="20"/>
          <w:szCs w:val="20"/>
        </w:rPr>
        <w:t>e to all of our variable expenses, the increase in variable expenses per compensated man-day also resulted from an increase in registry nursing expenses of $15.4 million, or $0.86 per compensated man-day, due to the shortage of nursing staff across the cou</w:t>
      </w:r>
      <w:r>
        <w:rPr>
          <w:sz w:val="20"/>
          <w:szCs w:val="20"/>
        </w:rPr>
        <w:t>ntry</w:t>
      </w:r>
      <w:r>
        <w:rPr>
          <w:sz w:val="20"/>
          <w:szCs w:val="20"/>
        </w:rPr>
        <w:t>.</w:t>
      </w:r>
      <w:r>
        <w:rPr>
          <w:b/>
          <w:bCs/>
          <w:sz w:val="20"/>
          <w:szCs w:val="20"/>
        </w:rPr>
        <w:t xml:space="preserve"> </w:t>
      </w:r>
      <w:r>
        <w:rPr>
          <w:sz w:val="20"/>
          <w:szCs w:val="20"/>
        </w:rPr>
        <w:t xml:space="preserve">In addition, we experienced an increase in travel expenses as we supported our staff who are temporarily deployed across the Company to help address the labor shortages we are experiencing in certain regions. Travel expenses increased $18.2 million, </w:t>
      </w:r>
      <w:r>
        <w:rPr>
          <w:sz w:val="20"/>
          <w:szCs w:val="20"/>
        </w:rPr>
        <w:t>or $1.00 per compensated man-day from the prior year</w:t>
      </w:r>
      <w:r>
        <w:rPr>
          <w:sz w:val="20"/>
          <w:szCs w:val="20"/>
        </w:rPr>
        <w:t>.</w:t>
      </w:r>
    </w:p>
    <w:p w:rsidR="00000000" w:rsidRDefault="006D723D">
      <w:pPr>
        <w:pStyle w:val="a3"/>
        <w:spacing w:before="240" w:beforeAutospacing="0" w:after="0" w:afterAutospacing="0"/>
        <w:jc w:val="both"/>
        <w:rPr>
          <w:sz w:val="20"/>
          <w:szCs w:val="20"/>
        </w:rPr>
      </w:pPr>
      <w:r>
        <w:rPr>
          <w:sz w:val="20"/>
          <w:szCs w:val="20"/>
        </w:rPr>
        <w:t xml:space="preserve">Operating expenses incurred by CoreCivic Properties in connection with facilities we lease to third-party operators decreased $4.5 million, or 24.6%, during 2022 when compared to 2021. The decrease in expenses in this segment was primarily a result of the </w:t>
      </w:r>
      <w:r>
        <w:rPr>
          <w:sz w:val="20"/>
          <w:szCs w:val="20"/>
        </w:rPr>
        <w:t>sale of three actively leased properties during the second quarter of 2021 and two actively leased properties during the third quarter of 2022, all as further described hereinafter, partially offset by the operating expenses incurred as a result of the com</w:t>
      </w:r>
      <w:r>
        <w:rPr>
          <w:sz w:val="20"/>
          <w:szCs w:val="20"/>
        </w:rPr>
        <w:t>mencement of the lease of the 596-bed Northwest New Mexico Correctional Center effective November 1, 2021, also as further described hereinafter</w:t>
      </w:r>
      <w:r>
        <w:rPr>
          <w:sz w:val="20"/>
          <w:szCs w:val="20"/>
        </w:rPr>
        <w:t>.</w:t>
      </w:r>
      <w:r>
        <w:rPr>
          <w:sz w:val="20"/>
          <w:szCs w:val="20"/>
        </w:rPr>
        <w:t xml:space="preserve"> </w:t>
      </w:r>
    </w:p>
    <w:p w:rsidR="00000000" w:rsidRDefault="006D723D">
      <w:pPr>
        <w:pStyle w:val="a3"/>
        <w:spacing w:before="360" w:beforeAutospacing="0" w:after="0" w:afterAutospacing="0"/>
        <w:jc w:val="both"/>
        <w:rPr>
          <w:sz w:val="20"/>
          <w:szCs w:val="20"/>
        </w:rPr>
      </w:pPr>
      <w:r>
        <w:rPr>
          <w:i/>
          <w:iCs/>
          <w:sz w:val="20"/>
          <w:szCs w:val="20"/>
        </w:rPr>
        <w:t>Facility Management Contract</w:t>
      </w:r>
      <w:r>
        <w:rPr>
          <w:i/>
          <w:iCs/>
          <w:sz w:val="20"/>
          <w:szCs w:val="20"/>
        </w:rPr>
        <w:t>s</w:t>
      </w:r>
    </w:p>
    <w:p w:rsidR="00000000" w:rsidRDefault="006D723D">
      <w:pPr>
        <w:pStyle w:val="a3"/>
        <w:spacing w:before="120" w:beforeAutospacing="0" w:after="0" w:afterAutospacing="0"/>
        <w:jc w:val="both"/>
        <w:rPr>
          <w:sz w:val="20"/>
          <w:szCs w:val="20"/>
        </w:rPr>
      </w:pPr>
      <w:r>
        <w:rPr>
          <w:sz w:val="20"/>
          <w:szCs w:val="20"/>
        </w:rPr>
        <w:t>We enter into facility management contracts to provide bed capacity and managem</w:t>
      </w:r>
      <w:r>
        <w:rPr>
          <w:sz w:val="20"/>
          <w:szCs w:val="20"/>
        </w:rPr>
        <w:t>ent services to governmental entities in our CoreCivic Safety and CoreCivic Community segments for terms typically ranging from three to five years, with additional renewal periods at the option of the contracting governmental agency. Accordingly, a substa</w:t>
      </w:r>
      <w:r>
        <w:rPr>
          <w:sz w:val="20"/>
          <w:szCs w:val="20"/>
        </w:rPr>
        <w:t>ntial portion of our facility management contracts are scheduled to expire each year, notwithstanding contractual renewal options that a government agency may exercise. Although we generally expect these customers to exercise renewal options or negotiate n</w:t>
      </w:r>
      <w:r>
        <w:rPr>
          <w:sz w:val="20"/>
          <w:szCs w:val="20"/>
        </w:rPr>
        <w:t>ew contracts with us, one or more of these contracts may not be renewed by the corresponding governmental agency. Further, our government partners can generally terminate our management contracts for non-appropriation of funds or for convenience</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Addition</w:t>
      </w:r>
      <w:r>
        <w:rPr>
          <w:sz w:val="20"/>
          <w:szCs w:val="20"/>
        </w:rPr>
        <w:t>ally, on January 26, 2021, President Biden issued the Private Prison EO. The Private Prison EO directs the Attorney General to not renew DOJ contracts with privately operated criminal detention facilities. Two agencies of the DOJ, the BOP and the USMS util</w:t>
      </w:r>
      <w:r>
        <w:rPr>
          <w:sz w:val="20"/>
          <w:szCs w:val="20"/>
        </w:rPr>
        <w:t>ize our services. The BOP houses inmates who have been convicted, and the USMS is generally responsible for detainees who are awaiting trial. The BOP has experienced a steady decline in inmate populations over the last decade, a trend that has been acceler</w:t>
      </w:r>
      <w:r>
        <w:rPr>
          <w:sz w:val="20"/>
          <w:szCs w:val="20"/>
        </w:rPr>
        <w:t>ated by the COVID-19 pandemic. Our remaining prison contract with the BOP at the 1,978-bed McRae Correctional Facility expired on November 30, 2022 and was not renewed. This contract accounted for 2% ($37.8 million) and 2% ($40.6 million) of our total reve</w:t>
      </w:r>
      <w:r>
        <w:rPr>
          <w:sz w:val="20"/>
          <w:szCs w:val="20"/>
        </w:rPr>
        <w:t>nue for the twelve months ended December 31, 2022 and 2021, respectively. We completed the sale of the McRae facility in August 2022 to the Georgia Building Authority, and entered into an agreement to lease the facility through November 2022 to allow us to</w:t>
      </w:r>
      <w:r>
        <w:rPr>
          <w:sz w:val="20"/>
          <w:szCs w:val="20"/>
        </w:rPr>
        <w:t xml:space="preserve"> fulfill our obligations to the BOP. The Private Prison EO only applies to agencies that are part of the DOJ, which includes the BOP and USMS. ICE facilities are not covered by the Private Prison EO, as ICE is an agency of the DHS, not the DOJ, although it</w:t>
      </w:r>
      <w:r>
        <w:rPr>
          <w:sz w:val="20"/>
          <w:szCs w:val="20"/>
        </w:rPr>
        <w:t xml:space="preserve"> is possible that the federal government could choose to take similar action on ICE facilities in the future. For the twelve months ended December 31, 2022, USMS and ICE accounted for 22% ($403.9 million) and 29% ($527.3 million), respectively, of our tota</w:t>
      </w:r>
      <w:r>
        <w:rPr>
          <w:sz w:val="20"/>
          <w:szCs w:val="20"/>
        </w:rPr>
        <w:t>l revenue. For the twelve months ended December 31, 2021, USMS and ICE accounted for 23% ($433.6 million) and 30% ($552.2 million), respectively, of our total revenue</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Unlike the BOP, the USMS does not own detention capacity and relies on the private sect</w:t>
      </w:r>
      <w:r>
        <w:rPr>
          <w:sz w:val="20"/>
          <w:szCs w:val="20"/>
        </w:rPr>
        <w:t>or, along with various government agencies, for its detainee population. The USMS has been advised by the Office of the Deputy Attorney General not to renew existing contracts, or enter into new contracts for private detention facilities. We currently have</w:t>
      </w:r>
      <w:r>
        <w:rPr>
          <w:sz w:val="20"/>
          <w:szCs w:val="20"/>
        </w:rPr>
        <w:t xml:space="preserve"> </w:t>
      </w:r>
      <w:r>
        <w:rPr>
          <w:sz w:val="20"/>
          <w:szCs w:val="20"/>
        </w:rPr>
        <w:t>two detention facilities that have direct contracts with the USMS</w:t>
      </w:r>
      <w:r>
        <w:rPr>
          <w:sz w:val="20"/>
          <w:szCs w:val="20"/>
        </w:rPr>
        <w:t xml:space="preserve"> </w:t>
      </w:r>
      <w:r>
        <w:rPr>
          <w:sz w:val="20"/>
          <w:szCs w:val="20"/>
        </w:rPr>
        <w:t>that expire in September 2023 and September 2025. The facility with the contract expiring in September 2023 services a substantial number of USMS detainees that we believe will be challengi</w:t>
      </w:r>
      <w:r>
        <w:rPr>
          <w:sz w:val="20"/>
          <w:szCs w:val="20"/>
        </w:rPr>
        <w:t>ng to replace, and we intend to work with the USMS to enable it to continue to fulfill its mission.</w:t>
      </w:r>
      <w:r>
        <w:rPr>
          <w:sz w:val="20"/>
          <w:szCs w:val="20"/>
        </w:rPr>
        <w:t xml:space="preserve"> </w:t>
      </w:r>
      <w:r>
        <w:rPr>
          <w:sz w:val="20"/>
          <w:szCs w:val="20"/>
        </w:rPr>
        <w:t>However, we can provide no assurance that this contract will be renewed or replaced upon expiration. It is too early to predict the outcome of the expiratio</w:t>
      </w:r>
      <w:r>
        <w:rPr>
          <w:sz w:val="20"/>
          <w:szCs w:val="20"/>
        </w:rPr>
        <w:t>n of the contract scheduled to expire in September 2025, and future developments could occur prior to the scheduled expiration dat</w:t>
      </w:r>
      <w:r>
        <w:rPr>
          <w:sz w:val="20"/>
          <w:szCs w:val="20"/>
        </w:rPr>
        <w:t>e</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7</w:t>
      </w:r>
      <w:r>
        <w:rPr>
          <w:sz w:val="20"/>
          <w:szCs w:val="20"/>
        </w:rPr>
        <w:t>7</w:t>
      </w:r>
    </w:p>
    <w:p w:rsidR="00000000" w:rsidRDefault="006D723D">
      <w:pPr>
        <w:rPr>
          <w:rFonts w:eastAsia="Times New Roman"/>
        </w:rPr>
      </w:pPr>
      <w:r>
        <w:rPr>
          <w:rFonts w:eastAsia="Times New Roman"/>
        </w:rPr>
        <w:pict>
          <v:rect id="_x0000_i1101"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On December 6, 2022, we received notice from the California Department of Correc</w:t>
      </w:r>
      <w:r>
        <w:rPr>
          <w:sz w:val="20"/>
          <w:szCs w:val="20"/>
        </w:rPr>
        <w:t>tions and Rehabilitation, or CDCR, of its intent to terminate the lease agreement for our 2,560-bed California City Correctional Center by March 31, 2024, due to the state's declining inmate population. The lease agreement is fully funded through the state</w:t>
      </w:r>
      <w:r>
        <w:rPr>
          <w:sz w:val="20"/>
          <w:szCs w:val="20"/>
        </w:rPr>
        <w:t xml:space="preserve"> of California's current fiscal year ending June 30, 2023. Funding for the lease of the facility for the 2024 fiscal year, beginning July 1, 2023, will be determined in the California legislature in the first half of 2023 as part of the annual budget proce</w:t>
      </w:r>
      <w:r>
        <w:rPr>
          <w:sz w:val="20"/>
          <w:szCs w:val="20"/>
        </w:rPr>
        <w:t>ss. As part of this process, we plan to engage with the state of California regarding the continued utilization of our California City facility by the CDCR. However, we can provide no assurance that we will be successful in reaching an agreement for the ut</w:t>
      </w:r>
      <w:r>
        <w:rPr>
          <w:sz w:val="20"/>
          <w:szCs w:val="20"/>
        </w:rPr>
        <w:t>ilization of the facility beyond June 30, 2023. Rental revenue generated from the CDCR at the California City facility was $34.0 million and $33.3 million for the twelve months ended December 31, 2022 and 2021, respectively</w:t>
      </w:r>
      <w:r>
        <w:rPr>
          <w:sz w:val="20"/>
          <w:szCs w:val="20"/>
        </w:rPr>
        <w:t>.</w:t>
      </w:r>
    </w:p>
    <w:p w:rsidR="00000000" w:rsidRDefault="006D723D">
      <w:pPr>
        <w:pStyle w:val="a3"/>
        <w:spacing w:before="240" w:beforeAutospacing="0" w:after="0" w:afterAutospacing="0"/>
        <w:jc w:val="both"/>
        <w:rPr>
          <w:sz w:val="20"/>
          <w:szCs w:val="20"/>
        </w:rPr>
      </w:pPr>
      <w:r>
        <w:rPr>
          <w:sz w:val="20"/>
          <w:szCs w:val="20"/>
        </w:rPr>
        <w:t xml:space="preserve">Based on information available </w:t>
      </w:r>
      <w:r>
        <w:rPr>
          <w:sz w:val="20"/>
          <w:szCs w:val="20"/>
        </w:rPr>
        <w:t>as of the date of this Annual Report, other than the previously mentioned lease agreement with the CDCR for our California City facility, we believe we will renew all other contracts with our government partners that have expired or are scheduled to expire</w:t>
      </w:r>
      <w:r>
        <w:rPr>
          <w:sz w:val="20"/>
          <w:szCs w:val="20"/>
        </w:rPr>
        <w:t xml:space="preserve"> within the next twelve months that could have a material adverse impact on our financial statements. We believe our renewal rate on existing contracts remains high due to a variety of reasons including, but not limited to, the constrained supply of availa</w:t>
      </w:r>
      <w:r>
        <w:rPr>
          <w:sz w:val="20"/>
          <w:szCs w:val="20"/>
        </w:rPr>
        <w:t>ble beds within the U.S. correctional system, our ownership of the majority of the beds we operate, and the cost effectiveness of the services we provide. However, we cannot assure that we will continue to achieve such renewal rates in the future</w:t>
      </w:r>
      <w:r>
        <w:rPr>
          <w:sz w:val="20"/>
          <w:szCs w:val="20"/>
        </w:rPr>
        <w:t>.</w:t>
      </w:r>
      <w:r>
        <w:rPr>
          <w:sz w:val="20"/>
          <w:szCs w:val="20"/>
        </w:rPr>
        <w:t xml:space="preserve"> </w:t>
      </w:r>
    </w:p>
    <w:p w:rsidR="00000000" w:rsidRDefault="006D723D">
      <w:pPr>
        <w:pStyle w:val="a3"/>
        <w:spacing w:before="160" w:beforeAutospacing="0" w:after="0" w:afterAutospacing="0"/>
        <w:jc w:val="both"/>
        <w:rPr>
          <w:sz w:val="20"/>
          <w:szCs w:val="20"/>
        </w:rPr>
      </w:pPr>
      <w:r>
        <w:rPr>
          <w:i/>
          <w:iCs/>
          <w:sz w:val="20"/>
          <w:szCs w:val="20"/>
        </w:rPr>
        <w:t>CoreCiv</w:t>
      </w:r>
      <w:r>
        <w:rPr>
          <w:i/>
          <w:iCs/>
          <w:sz w:val="20"/>
          <w:szCs w:val="20"/>
        </w:rPr>
        <w:t>ic Safet</w:t>
      </w:r>
      <w:r>
        <w:rPr>
          <w:i/>
          <w:iCs/>
          <w:sz w:val="20"/>
          <w:szCs w:val="20"/>
        </w:rPr>
        <w:t>y</w:t>
      </w:r>
      <w:r>
        <w:rPr>
          <w:i/>
          <w:iCs/>
          <w:sz w:val="20"/>
          <w:szCs w:val="20"/>
        </w:rPr>
        <w:t xml:space="preserve"> </w:t>
      </w:r>
    </w:p>
    <w:p w:rsidR="00000000" w:rsidRDefault="006D723D">
      <w:pPr>
        <w:pStyle w:val="a3"/>
        <w:spacing w:before="120" w:beforeAutospacing="0" w:after="0" w:afterAutospacing="0"/>
        <w:jc w:val="both"/>
        <w:rPr>
          <w:sz w:val="20"/>
          <w:szCs w:val="20"/>
        </w:rPr>
      </w:pPr>
      <w:r>
        <w:rPr>
          <w:sz w:val="20"/>
          <w:szCs w:val="20"/>
        </w:rPr>
        <w:t>CoreCivic Safety includes the operating results of the correctional and detention facilities that we operated during each period. Total revenue generated by CoreCivic Safety decreased $9.9 million, or 0.6%, from $1,694.0 million during 2021 to $</w:t>
      </w:r>
      <w:r>
        <w:rPr>
          <w:sz w:val="20"/>
          <w:szCs w:val="20"/>
        </w:rPr>
        <w:t xml:space="preserve">1,684.0 million during 2022. CoreCivic Safety's facility net operating income decreased $86.6 million, or 18.9%, from $457.0 million during 2021 to $370.5 million during 2022. During 2022 and 2021, CoreCivic Safety generated 84.1% and 85.5%, respectively, </w:t>
      </w:r>
      <w:r>
        <w:rPr>
          <w:sz w:val="20"/>
          <w:szCs w:val="20"/>
        </w:rPr>
        <w:t>of our total segment net operating income</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The following table displays the revenue and expenses per compensated man-day for CoreCivic Safety's correctional and detention facilities placed into service that we own and manage and for the facilities we mana</w:t>
      </w:r>
      <w:r>
        <w:rPr>
          <w:sz w:val="20"/>
          <w:szCs w:val="20"/>
        </w:rPr>
        <w:t>ge but do not own, inclusive of the transportation services provided by TransCor</w:t>
      </w:r>
      <w:r>
        <w:rPr>
          <w:sz w:val="20"/>
          <w:szCs w:val="20"/>
        </w:rPr>
        <w:t>:</w:t>
      </w:r>
    </w:p>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0" w:beforeAutospacing="0" w:after="0" w:afterAutospacing="0"/>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647"/>
        <w:gridCol w:w="110"/>
        <w:gridCol w:w="160"/>
        <w:gridCol w:w="894"/>
        <w:gridCol w:w="260"/>
        <w:gridCol w:w="110"/>
        <w:gridCol w:w="160"/>
        <w:gridCol w:w="892"/>
        <w:gridCol w:w="242"/>
      </w:tblGrid>
      <w:tr w:rsidR="00000000">
        <w:trPr>
          <w:tblCellSpacing w:w="15" w:type="dxa"/>
        </w:trPr>
        <w:tc>
          <w:tcPr>
            <w:tcW w:w="3261" w:type="pct"/>
            <w:vAlign w:val="center"/>
            <w:hideMark/>
          </w:tcPr>
          <w:p w:rsidR="00000000" w:rsidRDefault="006D723D">
            <w:pPr>
              <w:rPr>
                <w:sz w:val="20"/>
                <w:szCs w:val="20"/>
              </w:rPr>
            </w:pPr>
          </w:p>
        </w:tc>
        <w:tc>
          <w:tcPr>
            <w:tcW w:w="7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91"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7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8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6D723D">
            <w:pPr>
              <w:pStyle w:val="a3"/>
              <w:spacing w:before="0" w:beforeAutospacing="0" w:after="0" w:afterAutospacing="0"/>
              <w:jc w:val="center"/>
              <w:rPr>
                <w:sz w:val="16"/>
                <w:szCs w:val="16"/>
              </w:rPr>
            </w:pPr>
            <w:r>
              <w:rPr>
                <w:sz w:val="16"/>
                <w:szCs w:val="16"/>
              </w:rPr>
              <w:t>For the Years Ended December 31</w:t>
            </w:r>
            <w:r>
              <w:rPr>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sz w:val="16"/>
                <w:szCs w:val="16"/>
              </w:rPr>
              <w:t>202</w:t>
            </w:r>
            <w:r>
              <w:rPr>
                <w:sz w:val="16"/>
                <w:szCs w:val="16"/>
              </w:rPr>
              <w:t>1</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b/>
                <w:bCs/>
                <w:sz w:val="20"/>
                <w:szCs w:val="20"/>
              </w:rPr>
              <w:t>CoreCivic Safety Facilities</w:t>
            </w: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Revenue per compensated man-da</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94.8</w:t>
            </w:r>
            <w:r>
              <w:rPr>
                <w:b/>
                <w:bCs/>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91.3</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Operating expenses per compensated man-day</w:t>
            </w: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Fixed expens</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52.1</w:t>
            </w:r>
            <w:r>
              <w:rPr>
                <w:b/>
                <w:bCs/>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48.0</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Variable expens</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21.8</w:t>
            </w:r>
            <w:r>
              <w:rPr>
                <w:b/>
                <w:bCs/>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18.6</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400"/>
              <w:rPr>
                <w:sz w:val="20"/>
                <w:szCs w:val="20"/>
              </w:rPr>
            </w:pPr>
            <w:r>
              <w:rPr>
                <w:sz w:val="20"/>
                <w:szCs w:val="20"/>
              </w:rPr>
              <w:t>Tota</w:t>
            </w:r>
            <w:r>
              <w:rPr>
                <w:sz w:val="20"/>
                <w:szCs w:val="20"/>
              </w:rPr>
              <w:t>l</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73.9</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66.6</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Operating income per compensated man-da</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20.8</w:t>
            </w:r>
            <w:r>
              <w:rPr>
                <w:b/>
                <w:bCs/>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24.6</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Operating margi</w:t>
            </w:r>
            <w:r>
              <w:rPr>
                <w:sz w:val="20"/>
                <w:szCs w:val="20"/>
              </w:rPr>
              <w:t>n</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22.</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27.</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Average compensated occupanc</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71.</w:t>
            </w:r>
            <w:r>
              <w:rPr>
                <w:b/>
                <w:bCs/>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72.</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Average available bed</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68,29</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69,90</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Average compensated populatio</w:t>
            </w:r>
            <w:r>
              <w:rPr>
                <w:sz w:val="20"/>
                <w:szCs w:val="20"/>
              </w:rPr>
              <w:t>n</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48,64</w:t>
            </w:r>
            <w:r>
              <w:rPr>
                <w:b/>
                <w:bCs/>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50,82</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bl>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0" w:beforeAutospacing="0" w:after="0" w:afterAutospacing="0"/>
        <w:jc w:val="both"/>
        <w:rPr>
          <w:sz w:val="20"/>
          <w:szCs w:val="20"/>
        </w:rPr>
      </w:pPr>
      <w:r>
        <w:rPr>
          <w:sz w:val="20"/>
          <w:szCs w:val="20"/>
        </w:rPr>
        <w:t>The Private Prison EO could have a negative impact on our future results of operations and cash flows, to the extent we are unable to replace the cash flows with new management contracts like we did at our Northeast Ohio and Crossroads facilities, as previ</w:t>
      </w:r>
      <w:r>
        <w:rPr>
          <w:sz w:val="20"/>
          <w:szCs w:val="20"/>
        </w:rPr>
        <w:t>ously described herein. We had direct contracts with the USMS to care for detainees at our 600-bed West Tennessee Detention Facility that expired on September 30, 2021 and was not renewed and at our 1,033-bed Midwest Regional Reception Center (formerly kno</w:t>
      </w:r>
      <w:r>
        <w:rPr>
          <w:sz w:val="20"/>
          <w:szCs w:val="20"/>
        </w:rPr>
        <w:t xml:space="preserve">wn as the Leavenworth Detention Center) that expired on December 31, 2021 and was not renewed. We are actively marketing the West Tennessee Detention Center and the Midwest Regional Reception Center to other government agencies. However, we can provide no </w:t>
      </w:r>
      <w:r>
        <w:rPr>
          <w:sz w:val="20"/>
          <w:szCs w:val="20"/>
        </w:rPr>
        <w:t>assurance that we will be able to reach an agreement for the utilization of these facilities. During 2021, the contract with the USMS at our West Tennessee facility generated management revenue of $14.7 million, and the contract with the USMS at our Midwes</w:t>
      </w:r>
      <w:r>
        <w:rPr>
          <w:sz w:val="20"/>
          <w:szCs w:val="20"/>
        </w:rPr>
        <w:t>t Regional Reception Center generated management revenue of $36.4 million. We idled both the Wes</w:t>
      </w:r>
      <w:r>
        <w:rPr>
          <w:sz w:val="20"/>
          <w:szCs w:val="20"/>
        </w:rPr>
        <w:t>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7</w:t>
      </w:r>
      <w:r>
        <w:rPr>
          <w:sz w:val="20"/>
          <w:szCs w:val="20"/>
        </w:rPr>
        <w:t>8</w:t>
      </w:r>
    </w:p>
    <w:p w:rsidR="00000000" w:rsidRDefault="006D723D">
      <w:pPr>
        <w:rPr>
          <w:rFonts w:eastAsia="Times New Roman"/>
        </w:rPr>
      </w:pPr>
      <w:r>
        <w:rPr>
          <w:rFonts w:eastAsia="Times New Roman"/>
        </w:rPr>
        <w:pict>
          <v:rect id="_x0000_i1102"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jc w:val="both"/>
        <w:rPr>
          <w:sz w:val="20"/>
          <w:szCs w:val="20"/>
        </w:rPr>
      </w:pPr>
      <w:r>
        <w:rPr>
          <w:sz w:val="20"/>
          <w:szCs w:val="20"/>
        </w:rPr>
        <w:t>Tennessee Detention Center and the Midwest Regional Reception Center upon expiration of the contracts with the USMS.</w:t>
      </w:r>
      <w:r>
        <w:rPr>
          <w:sz w:val="20"/>
          <w:szCs w:val="20"/>
        </w:rPr>
        <w:t xml:space="preserve"> However, we temporarily retained a certain staffing level at both facilities through the first three months of 2022 in the event that we were able to enter into new contracts with government agencies promptly following the contract expirations and to prov</w:t>
      </w:r>
      <w:r>
        <w:rPr>
          <w:sz w:val="20"/>
          <w:szCs w:val="20"/>
        </w:rPr>
        <w:t>ide transportation services at the Midwest Regional Reception Center, which contributed to the increase in operating expenses per man-day in our Safety segment during 2022. During 2022, these two facilities experienced facility net operating losses aggrega</w:t>
      </w:r>
      <w:r>
        <w:rPr>
          <w:sz w:val="20"/>
          <w:szCs w:val="20"/>
        </w:rPr>
        <w:t>ting $5.0 million, resulting in a total reduction to facility net operating income of $8.1 million at these two facilities as compared to 2021</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As previously described herein, we also had one prison contract with the BOP at our 1,978-bed McRae Correctiona</w:t>
      </w:r>
      <w:r>
        <w:rPr>
          <w:sz w:val="20"/>
          <w:szCs w:val="20"/>
        </w:rPr>
        <w:t>l Facility, which expired in November 2022 and was not renewed. During 2022, this facility generated facility net operating income of $6.4 million. We entered into a Purchase and Sale Agreement with the Georgia Building Authority to purchase the McRae faci</w:t>
      </w:r>
      <w:r>
        <w:rPr>
          <w:sz w:val="20"/>
          <w:szCs w:val="20"/>
        </w:rPr>
        <w:t>lity in July 2022 and completed the sale in August 2022. We leased the McRae Correctional Facility from the Georgia Building Authority through November 30, 2022 to allow us to fulfill our obligations to the BOP. We generated net sales proceeds of $129.7 mi</w:t>
      </w:r>
      <w:r>
        <w:rPr>
          <w:sz w:val="20"/>
          <w:szCs w:val="20"/>
        </w:rPr>
        <w:t>llion on the sale of the McRae facility, resulting in a net gain on the sale of $77.5 million, which we recognized in the third quarter of 2022</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Operating margins in the CoreCivic Safety segment have also been negatively impacted during 2022 by increased operating expenses per man-day, which was driven primarily by incremental staffing levels, higher wage rates, and increased registry nursing and o</w:t>
      </w:r>
      <w:r>
        <w:rPr>
          <w:sz w:val="20"/>
          <w:szCs w:val="20"/>
        </w:rPr>
        <w:t>ther related expenses. As previously described herein, we have experienced labor shortages and wage pressures in many markets across the country, and have provided inflationary wage increases to remain competitive, including increases to most of our facili</w:t>
      </w:r>
      <w:r>
        <w:rPr>
          <w:sz w:val="20"/>
          <w:szCs w:val="20"/>
        </w:rPr>
        <w:t>ty staff during July of the last three years since the COVID-19 pandemic started. Further, we have incurred, and expect to continue to incur, incremental expenses to help ensure sufficient staffing levels under unique and challenging working conditions, in</w:t>
      </w:r>
      <w:r>
        <w:rPr>
          <w:sz w:val="20"/>
          <w:szCs w:val="20"/>
        </w:rPr>
        <w:t>cluding but not limited to, shift incentive bonuses, recruiting and retention bonuses, temporary employee housing expenses and travel reimbursements, off-cycle wage increases, as well as relocation incentives. We expect to continue to invest in staffing re</w:t>
      </w:r>
      <w:r>
        <w:rPr>
          <w:sz w:val="20"/>
          <w:szCs w:val="20"/>
        </w:rPr>
        <w:t>sources during 2023, which may result in additional compensation and incremental expenses. During 2021, we operated at reduced staffing levels due to COVID-19 health and safety measures, including occupancy restrictions and labor shortages in many of our m</w:t>
      </w:r>
      <w:r>
        <w:rPr>
          <w:sz w:val="20"/>
          <w:szCs w:val="20"/>
        </w:rPr>
        <w:t>arkets. Further, in an effort to mitigate the spread of COVID-19 and at the direction of our government partners, we significantly reduced the level of movement within our facilities, enabling us to more efficiently manage our staffing. We have worked with</w:t>
      </w:r>
      <w:r>
        <w:rPr>
          <w:sz w:val="20"/>
          <w:szCs w:val="20"/>
        </w:rPr>
        <w:t xml:space="preserve"> our government partners and followed national and local health standards as we reinstated normal movement within our facilities. The negative impact on operating margins resulting from these factors was partially offset by a 3.9% increase in average reven</w:t>
      </w:r>
      <w:r>
        <w:rPr>
          <w:sz w:val="20"/>
          <w:szCs w:val="20"/>
        </w:rPr>
        <w:t>ue per compensated man-day during 2022 when compared to the prior year. The increase in average revenue per compensated man-day resulted from the effect of per diem increases at several of our facilities, as we have received per diem increases resulting fr</w:t>
      </w:r>
      <w:r>
        <w:rPr>
          <w:sz w:val="20"/>
          <w:szCs w:val="20"/>
        </w:rPr>
        <w:t>om additional government appropriations funding to address increases in the wages of our employees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In December 2021, we were awarded a new management contract from the state of Arizona for up to 2,706 inmates at our 3,060-bed La Palma Correctional Center</w:t>
      </w:r>
      <w:r>
        <w:rPr>
          <w:sz w:val="20"/>
          <w:szCs w:val="20"/>
        </w:rPr>
        <w:t xml:space="preserve"> in Arizona. The State closed an outdated public-sector prison and transferred the inmate populations from this prison and multiple other public-sector prisons to our La Palma facility. The transfer began in April 2022, and was substantially completed in t</w:t>
      </w:r>
      <w:r>
        <w:rPr>
          <w:sz w:val="20"/>
          <w:szCs w:val="20"/>
        </w:rPr>
        <w:t>he fourth quarter of 2022. Before the new award, the La Palma facility supported the mission of ICE by caring for approximately 1,800 detainees. The new award expands and strengthens our relationship with the state of Arizona and we believe will maximize t</w:t>
      </w:r>
      <w:r>
        <w:rPr>
          <w:sz w:val="20"/>
          <w:szCs w:val="20"/>
        </w:rPr>
        <w:t>he utilization of our La Palma facility, while providing ICE with the ability to continue its mission under existing contracts at alternative facilities we own and operate in the same geographic region. The transition of population from ICE detainees to in</w:t>
      </w:r>
      <w:r>
        <w:rPr>
          <w:sz w:val="20"/>
          <w:szCs w:val="20"/>
        </w:rPr>
        <w:t>mates from the state of Arizona resulted in the disruption of earnings and cash flows, and we expect this disruption will continue until the incremental staffing incentives incurred to help ensure a smooth transition stabilize. Upon full utilization of the</w:t>
      </w:r>
      <w:r>
        <w:rPr>
          <w:sz w:val="20"/>
          <w:szCs w:val="20"/>
        </w:rPr>
        <w:t xml:space="preserve"> new contract, we expect to generate approximately $75.0 million to $85.0 million in annualized revenue at the La Palma facility. However, because of the preparation to receive the Arizona inmates, including a reduction in the average daily population of I</w:t>
      </w:r>
      <w:r>
        <w:rPr>
          <w:sz w:val="20"/>
          <w:szCs w:val="20"/>
        </w:rPr>
        <w:t>CE detainees at the facility, facility net operating income decreased $34.1 million during 2022 when compared with 2021</w:t>
      </w:r>
      <w:r>
        <w:rPr>
          <w:sz w:val="20"/>
          <w:szCs w:val="20"/>
        </w:rPr>
        <w:t>.</w:t>
      </w:r>
    </w:p>
    <w:p w:rsidR="00000000" w:rsidRDefault="006D723D">
      <w:pPr>
        <w:pStyle w:val="a3"/>
        <w:spacing w:before="240" w:beforeAutospacing="0" w:after="0" w:afterAutospacing="0"/>
        <w:jc w:val="both"/>
        <w:rPr>
          <w:sz w:val="20"/>
          <w:szCs w:val="20"/>
        </w:rPr>
      </w:pPr>
      <w:r>
        <w:rPr>
          <w:sz w:val="20"/>
          <w:szCs w:val="20"/>
        </w:rPr>
        <w:t>Our managed-only contract for the 1,030-bed Marion County Jail in Indianapolis, Indiana terminated and operations transitioned to Mario</w:t>
      </w:r>
      <w:r>
        <w:rPr>
          <w:sz w:val="20"/>
          <w:szCs w:val="20"/>
        </w:rPr>
        <w:t>n County effective January 31, 2022. Marion County constructed a replacement facility that became fully operational in January 2022. During 2021, this facility generated facility net operating income of $3.9 million compared to a facility net operating los</w:t>
      </w:r>
      <w:r>
        <w:rPr>
          <w:sz w:val="20"/>
          <w:szCs w:val="20"/>
        </w:rPr>
        <w:t>s of $0.1 million during the time the facility was active in 2022</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7</w:t>
      </w:r>
      <w:r>
        <w:rPr>
          <w:sz w:val="20"/>
          <w:szCs w:val="20"/>
        </w:rPr>
        <w:t>9</w:t>
      </w:r>
    </w:p>
    <w:p w:rsidR="00000000" w:rsidRDefault="006D723D">
      <w:pPr>
        <w:rPr>
          <w:rFonts w:eastAsia="Times New Roman"/>
        </w:rPr>
      </w:pPr>
      <w:r>
        <w:rPr>
          <w:rFonts w:eastAsia="Times New Roman"/>
        </w:rPr>
        <w:pict>
          <v:rect id="_x0000_i1103"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 xml:space="preserve">On September 20, 2021, we entered into a three-year lease agreement with the state of New Mexico at our 596-bed Northwest New Mexico Correctional </w:t>
      </w:r>
      <w:r>
        <w:rPr>
          <w:sz w:val="20"/>
          <w:szCs w:val="20"/>
        </w:rPr>
        <w:t xml:space="preserve">Center. We previously operated the Northwest New Mexico facility in our Safety segment under a contract with the state of New Mexico. We transitioned facility operations to the New Mexico Corrections Department upon commencement of the new lease agreement </w:t>
      </w:r>
      <w:r>
        <w:rPr>
          <w:sz w:val="20"/>
          <w:szCs w:val="20"/>
        </w:rPr>
        <w:t>on November 1, 2021. During the time the facility operated in our Safety segment during 2021, the Northwest New Mexico facility generated revenue of $9.2 million and incurred a facility net operating loss of $2.3 million. During 2022, this facility generat</w:t>
      </w:r>
      <w:r>
        <w:rPr>
          <w:sz w:val="20"/>
          <w:szCs w:val="20"/>
        </w:rPr>
        <w:t>ed lease revenue of $3.2 million and facility net operating income of $1.3 million</w:t>
      </w:r>
      <w:r>
        <w:rPr>
          <w:sz w:val="20"/>
          <w:szCs w:val="20"/>
        </w:rPr>
        <w:t>.</w:t>
      </w:r>
    </w:p>
    <w:p w:rsidR="00000000" w:rsidRDefault="006D723D">
      <w:pPr>
        <w:pStyle w:val="a3"/>
        <w:spacing w:before="360" w:beforeAutospacing="0" w:after="0" w:afterAutospacing="0"/>
        <w:jc w:val="both"/>
        <w:rPr>
          <w:sz w:val="20"/>
          <w:szCs w:val="20"/>
        </w:rPr>
      </w:pPr>
      <w:r>
        <w:rPr>
          <w:i/>
          <w:iCs/>
          <w:sz w:val="20"/>
          <w:szCs w:val="20"/>
        </w:rPr>
        <w:t>CoreCivic Communit</w:t>
      </w:r>
      <w:r>
        <w:rPr>
          <w:i/>
          <w:iCs/>
          <w:sz w:val="20"/>
          <w:szCs w:val="20"/>
        </w:rPr>
        <w:t>y</w:t>
      </w:r>
      <w:r>
        <w:rPr>
          <w:i/>
          <w:iCs/>
          <w:sz w:val="20"/>
          <w:szCs w:val="20"/>
        </w:rPr>
        <w:t xml:space="preserve"> </w:t>
      </w:r>
    </w:p>
    <w:p w:rsidR="00000000" w:rsidRDefault="006D723D">
      <w:pPr>
        <w:pStyle w:val="a3"/>
        <w:spacing w:before="120" w:beforeAutospacing="0" w:after="0" w:afterAutospacing="0"/>
        <w:jc w:val="both"/>
        <w:rPr>
          <w:sz w:val="20"/>
          <w:szCs w:val="20"/>
        </w:rPr>
      </w:pPr>
      <w:r>
        <w:rPr>
          <w:sz w:val="20"/>
          <w:szCs w:val="20"/>
        </w:rPr>
        <w:t>CoreCivic Community includes the operating results of the residential reentry centers that we operated during each period, along with the operating res</w:t>
      </w:r>
      <w:r>
        <w:rPr>
          <w:sz w:val="20"/>
          <w:szCs w:val="20"/>
        </w:rPr>
        <w:t>ults of our electronic monitoring and case management services. Total revenue generated by CoreCivic Community increased $3.8 million, or 3.8%, from $99.4 million during 2021 to $103.3 million during 2022. CoreCivic Community's facility net operating incom</w:t>
      </w:r>
      <w:r>
        <w:rPr>
          <w:sz w:val="20"/>
          <w:szCs w:val="20"/>
        </w:rPr>
        <w:t>e decreased $0.6 million, or 3.2%, from $17.8 million during 2021 to $17.2 million during 2022. During 2022 and 2021, CoreCivic Community generated 3.9% and 3.3%, respectively, of our total segment net operating income</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The following table displays the re</w:t>
      </w:r>
      <w:r>
        <w:rPr>
          <w:sz w:val="20"/>
          <w:szCs w:val="20"/>
        </w:rPr>
        <w:t>venue and expenses per compensated man-day for CoreCivic Community's residential reentry facilities placed into service that we own and manage, but exclusive of the electronic monitoring and case management services given that revenue is not generated on a</w:t>
      </w:r>
      <w:r>
        <w:rPr>
          <w:sz w:val="20"/>
          <w:szCs w:val="20"/>
        </w:rPr>
        <w:t xml:space="preserve"> per compensated man-day basis for these services</w:t>
      </w:r>
      <w:r>
        <w:rPr>
          <w:sz w:val="20"/>
          <w:szCs w:val="20"/>
        </w:rPr>
        <w:t>:</w:t>
      </w:r>
    </w:p>
    <w:p w:rsidR="00000000" w:rsidRDefault="006D723D">
      <w:pPr>
        <w:pStyle w:val="a3"/>
        <w:spacing w:before="0" w:beforeAutospacing="0" w:after="0" w:afterAutospacing="0"/>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647"/>
        <w:gridCol w:w="110"/>
        <w:gridCol w:w="160"/>
        <w:gridCol w:w="894"/>
        <w:gridCol w:w="260"/>
        <w:gridCol w:w="110"/>
        <w:gridCol w:w="160"/>
        <w:gridCol w:w="892"/>
        <w:gridCol w:w="242"/>
      </w:tblGrid>
      <w:tr w:rsidR="00000000">
        <w:trPr>
          <w:tblCellSpacing w:w="15" w:type="dxa"/>
        </w:trPr>
        <w:tc>
          <w:tcPr>
            <w:tcW w:w="3261" w:type="pct"/>
            <w:vAlign w:val="center"/>
            <w:hideMark/>
          </w:tcPr>
          <w:p w:rsidR="00000000" w:rsidRDefault="006D723D">
            <w:pPr>
              <w:rPr>
                <w:sz w:val="20"/>
                <w:szCs w:val="20"/>
              </w:rPr>
            </w:pPr>
          </w:p>
        </w:tc>
        <w:tc>
          <w:tcPr>
            <w:tcW w:w="7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91"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7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8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6D723D">
            <w:pPr>
              <w:pStyle w:val="a3"/>
              <w:spacing w:before="0" w:beforeAutospacing="0" w:after="0" w:afterAutospacing="0"/>
              <w:jc w:val="center"/>
              <w:rPr>
                <w:sz w:val="16"/>
                <w:szCs w:val="16"/>
              </w:rPr>
            </w:pPr>
            <w:r>
              <w:rPr>
                <w:sz w:val="16"/>
                <w:szCs w:val="16"/>
              </w:rPr>
              <w:t>For the Years Ended December 31</w:t>
            </w:r>
            <w:r>
              <w:rPr>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sz w:val="16"/>
                <w:szCs w:val="16"/>
              </w:rPr>
              <w:t>202</w:t>
            </w:r>
            <w:r>
              <w:rPr>
                <w:sz w:val="16"/>
                <w:szCs w:val="16"/>
              </w:rPr>
              <w:t>1</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b/>
                <w:bCs/>
                <w:sz w:val="20"/>
                <w:szCs w:val="20"/>
              </w:rPr>
              <w:t>CoreCivic Community Facilities</w:t>
            </w: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Revenue per compensated man-da</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65.5</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63.4</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Operating expenses per compensated man-day</w:t>
            </w: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Fixed expens</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38.8</w:t>
            </w:r>
            <w:r>
              <w:rPr>
                <w:b/>
                <w:bCs/>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38.4</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Variable expens</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11.9</w:t>
            </w:r>
            <w:r>
              <w:rPr>
                <w:b/>
                <w:bCs/>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8.7</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400"/>
              <w:rPr>
                <w:sz w:val="20"/>
                <w:szCs w:val="20"/>
              </w:rPr>
            </w:pPr>
            <w:r>
              <w:rPr>
                <w:sz w:val="20"/>
                <w:szCs w:val="20"/>
              </w:rPr>
              <w:t>Tota</w:t>
            </w:r>
            <w:r>
              <w:rPr>
                <w:sz w:val="20"/>
                <w:szCs w:val="20"/>
              </w:rPr>
              <w:t>l</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50.7</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47.2</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Operating income per compensated man-da</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14.8</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16.1</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Operating margi</w:t>
            </w:r>
            <w:r>
              <w:rPr>
                <w:sz w:val="20"/>
                <w:szCs w:val="20"/>
              </w:rPr>
              <w:t>n</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22.</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25.</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Average compensated occupanc</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57.</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55.</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Average available bed</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4,86</w:t>
            </w:r>
            <w:r>
              <w:rPr>
                <w:b/>
                <w:bCs/>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5,05</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Average compensated populatio</w:t>
            </w:r>
            <w:r>
              <w:rPr>
                <w:sz w:val="20"/>
                <w:szCs w:val="20"/>
              </w:rPr>
              <w:t>n</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2,80</w:t>
            </w:r>
            <w:r>
              <w:rPr>
                <w:b/>
                <w:bCs/>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2,79</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bl>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0" w:beforeAutospacing="0" w:after="0" w:afterAutospacing="0"/>
        <w:jc w:val="both"/>
        <w:rPr>
          <w:sz w:val="20"/>
          <w:szCs w:val="20"/>
        </w:rPr>
      </w:pPr>
      <w:r>
        <w:rPr>
          <w:sz w:val="20"/>
          <w:szCs w:val="20"/>
        </w:rPr>
        <w:t>Similar to our CoreCivic Safety segment, operating margins in our CoreCivic Community segment were negatively impacted during 2022 by increased operating expenses per man-day, which were driven primarily by higher wage rates and increased variable expenses</w:t>
      </w:r>
      <w:r>
        <w:rPr>
          <w:sz w:val="20"/>
          <w:szCs w:val="20"/>
        </w:rPr>
        <w:t>, including most notably travel related expenses. The effect of the increased operating expenses was partially offset by an increase in average revenue per compensated man-day during 2022. Average revenue per compensated man-day increased primarily as a re</w:t>
      </w:r>
      <w:r>
        <w:rPr>
          <w:sz w:val="20"/>
          <w:szCs w:val="20"/>
        </w:rPr>
        <w:t>sult of per diem increases at several of our facilities. Also, like our CoreCivic Safety segment, occupancy in our CoreCivic Community facilities continues to be negatively affected by COVID-19 and has not yet returned to pre-pandemic occupancy levels. Bec</w:t>
      </w:r>
      <w:r>
        <w:rPr>
          <w:sz w:val="20"/>
          <w:szCs w:val="20"/>
        </w:rPr>
        <w:t>ause facilities in our Community segment are typically smaller in size than those in our Safety segment, occupancy declines have a larger impact on operating margin per compensated man-day. Accordingly, modest changes in occupancy can have a notable impact</w:t>
      </w:r>
      <w:r>
        <w:rPr>
          <w:sz w:val="20"/>
          <w:szCs w:val="20"/>
        </w:rPr>
        <w:t xml:space="preserve"> in our Community segment</w:t>
      </w:r>
      <w:r>
        <w:rPr>
          <w:sz w:val="20"/>
          <w:szCs w:val="20"/>
        </w:rPr>
        <w:t>.</w:t>
      </w:r>
    </w:p>
    <w:p w:rsidR="00000000" w:rsidRDefault="006D723D">
      <w:pPr>
        <w:pStyle w:val="a3"/>
        <w:spacing w:before="240" w:beforeAutospacing="0" w:after="0" w:afterAutospacing="0"/>
        <w:jc w:val="both"/>
        <w:rPr>
          <w:sz w:val="20"/>
          <w:szCs w:val="20"/>
        </w:rPr>
      </w:pPr>
      <w:r>
        <w:rPr>
          <w:sz w:val="20"/>
          <w:szCs w:val="20"/>
        </w:rPr>
        <w:t>Contributing to the improved average compensated occupancy in the CoreCivic Community segment during 2022 were the sales of our 120-bed Fox Facility and Training Center and our 90-bed Ulster Facility in the first quarter of 2022.</w:t>
      </w:r>
      <w:r>
        <w:rPr>
          <w:sz w:val="20"/>
          <w:szCs w:val="20"/>
        </w:rPr>
        <w:t xml:space="preserve"> During the fourth quarter of 2021, we entered into a Purchase and Sale Agreement for our Fox facility, which was sold in February 2022. In addition, during the fourth quarter of 2021, we entered into a separate Purchase and Sale Agreement for our idled Ul</w:t>
      </w:r>
      <w:r>
        <w:rPr>
          <w:sz w:val="20"/>
          <w:szCs w:val="20"/>
        </w:rPr>
        <w:t>ster facility, which was sold in March 2022. The two facilities were located in Denver, Colorado and had recently been under-utilized by Denver County, and incurred facility net operating losses aggregating $0.5 million during 2021</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8</w:t>
      </w:r>
      <w:r>
        <w:rPr>
          <w:sz w:val="20"/>
          <w:szCs w:val="20"/>
        </w:rPr>
        <w:t>0</w:t>
      </w:r>
    </w:p>
    <w:p w:rsidR="00000000" w:rsidRDefault="006D723D">
      <w:pPr>
        <w:rPr>
          <w:rFonts w:eastAsia="Times New Roman"/>
        </w:rPr>
      </w:pPr>
      <w:r>
        <w:rPr>
          <w:rFonts w:eastAsia="Times New Roman"/>
        </w:rPr>
        <w:pict>
          <v:rect id="_x0000_i1104"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360" w:beforeAutospacing="0" w:after="0" w:afterAutospacing="0"/>
        <w:jc w:val="both"/>
        <w:rPr>
          <w:sz w:val="20"/>
          <w:szCs w:val="20"/>
        </w:rPr>
      </w:pPr>
      <w:r>
        <w:rPr>
          <w:i/>
          <w:iCs/>
          <w:sz w:val="20"/>
          <w:szCs w:val="20"/>
        </w:rPr>
        <w:t>CoreCivic Propertie</w:t>
      </w:r>
      <w:r>
        <w:rPr>
          <w:i/>
          <w:iCs/>
          <w:sz w:val="20"/>
          <w:szCs w:val="20"/>
        </w:rPr>
        <w:t>s</w:t>
      </w:r>
    </w:p>
    <w:p w:rsidR="00000000" w:rsidRDefault="006D723D">
      <w:pPr>
        <w:pStyle w:val="a3"/>
        <w:spacing w:before="120" w:beforeAutospacing="0" w:after="0" w:afterAutospacing="0"/>
        <w:jc w:val="both"/>
        <w:rPr>
          <w:sz w:val="20"/>
          <w:szCs w:val="20"/>
        </w:rPr>
      </w:pPr>
      <w:r>
        <w:rPr>
          <w:sz w:val="20"/>
          <w:szCs w:val="20"/>
        </w:rPr>
        <w:t>CoreCivic Properties includes the operating results of the properties we leased to government agencies during each period. Total revenue generated by CoreCivic Properties decreased $11.1 million, or 16.0%, from $68.</w:t>
      </w:r>
      <w:r>
        <w:rPr>
          <w:sz w:val="20"/>
          <w:szCs w:val="20"/>
        </w:rPr>
        <w:t>9 million during 2021 to $57.9 million during 2022. CoreCivic Properties' facility net operating income decreased $6.6 million, or 13.0%, from $50.8 million during 2021 to $44.2 million during 2022. The decreases in total revenue and facility net operating</w:t>
      </w:r>
      <w:r>
        <w:rPr>
          <w:sz w:val="20"/>
          <w:szCs w:val="20"/>
        </w:rPr>
        <w:t xml:space="preserve"> income in 2022 were primarily the result of the three actively leased properties we sold in the second quarter of 2021 and the two actively leased properties we sold in the third quarter of 2022, as further described hereinafter, partially offset by the r</w:t>
      </w:r>
      <w:r>
        <w:rPr>
          <w:sz w:val="20"/>
          <w:szCs w:val="20"/>
        </w:rPr>
        <w:t>evenue and net operating income generated by the new lease at our Northwest New Mexico Correctional Center. During 2022 and 2021, CoreCivic Properties generated 12.0% and 11.2%, respectively, of our total segment net operating income</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 xml:space="preserve">On May 28, 2021, we </w:t>
      </w:r>
      <w:r>
        <w:rPr>
          <w:sz w:val="20"/>
          <w:szCs w:val="20"/>
        </w:rPr>
        <w:t>completed the sale of two leased properties, the 277,000 square foot Capital Commerce Center, primarily leased to an agency of the State of Florida in Tallahassee, Florida, and a 217,000 square foot warehouse property leased to the General Services Adminis</w:t>
      </w:r>
      <w:r>
        <w:rPr>
          <w:sz w:val="20"/>
          <w:szCs w:val="20"/>
        </w:rPr>
        <w:t>tration, or GSA, in Dayton, Ohio, in a single transaction to a third party for an aggregate price of $73.0 million, generating net proceeds of $46.2 million after the repayment of the debt related to the Capital Commerce Center and other transaction-relate</w:t>
      </w:r>
      <w:r>
        <w:rPr>
          <w:sz w:val="20"/>
          <w:szCs w:val="20"/>
        </w:rPr>
        <w:t>d costs. In addition, on June 29, 2021, we completed the sale of a 541,000 square foot property leased to the GSA in Baltimore, Maryland to a third party for a price of $253.0 million, generating net proceeds of $76.4 million after the repayment of the deb</w:t>
      </w:r>
      <w:r>
        <w:rPr>
          <w:sz w:val="20"/>
          <w:szCs w:val="20"/>
        </w:rPr>
        <w:t>t related to the Baltimore property and other transaction-related costs. During our period of ownership in 2021, these three properties generated facility net operating income of $9.5 million. We recorded an aggregate net gain on the sales of these three p</w:t>
      </w:r>
      <w:r>
        <w:rPr>
          <w:sz w:val="20"/>
          <w:szCs w:val="20"/>
        </w:rPr>
        <w:t>roperties of $38.9 million during the second quarter of 2021</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On September 20, 2021, we entered into a three-year lease agreement with the state of New Mexico at our 596-bed Northwest New Mexico Correctional Center. We previously operated the Northwest Ne</w:t>
      </w:r>
      <w:r>
        <w:rPr>
          <w:sz w:val="20"/>
          <w:szCs w:val="20"/>
        </w:rPr>
        <w:t>w Mexico facility in our Safety segment under a contract with the state of New Mexico. We transitioned facility operations to the New Mexico Corrections Department upon commencement of the new lease agreement on November 1, 2021. We will retain responsibil</w:t>
      </w:r>
      <w:r>
        <w:rPr>
          <w:sz w:val="20"/>
          <w:szCs w:val="20"/>
        </w:rPr>
        <w:t>ity for facility maintenance throughout the term of the lease. The new lease agreement includes extension options that could extend the term of the lease through October 31, 2041. The average annual rent for the initial three-year lease term is $3.2 millio</w:t>
      </w:r>
      <w:r>
        <w:rPr>
          <w:sz w:val="20"/>
          <w:szCs w:val="20"/>
        </w:rPr>
        <w:t>n, including annual rent of $4.2 million in the second and third years of the lease, with annual escalators thereafter</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On July 19, 2022, we sold the Stockton Female Community Corrections Facility and the Long Beach Community Corrections Center, both loca</w:t>
      </w:r>
      <w:r>
        <w:rPr>
          <w:sz w:val="20"/>
          <w:szCs w:val="20"/>
        </w:rPr>
        <w:t>ted in California, generating net sales proceeds of $10.9 million. During 2021, these two properties generated facility net operating income of $1.0 million. During our period of ownership in 2022, these two properties generated facility net operating inco</w:t>
      </w:r>
      <w:r>
        <w:rPr>
          <w:sz w:val="20"/>
          <w:szCs w:val="20"/>
        </w:rPr>
        <w:t>me of $0.6 million. We reported an aggregate net gain on the sale of these two properties of $2.3 million during the third quarter of 2022</w:t>
      </w:r>
      <w:r>
        <w:rPr>
          <w:sz w:val="20"/>
          <w:szCs w:val="20"/>
        </w:rPr>
        <w:t>.</w:t>
      </w:r>
    </w:p>
    <w:p w:rsidR="00000000" w:rsidRDefault="006D723D">
      <w:pPr>
        <w:pStyle w:val="a3"/>
        <w:spacing w:before="240" w:beforeAutospacing="0" w:after="0" w:afterAutospacing="0"/>
        <w:jc w:val="both"/>
        <w:rPr>
          <w:sz w:val="20"/>
          <w:szCs w:val="20"/>
        </w:rPr>
      </w:pPr>
      <w:r>
        <w:rPr>
          <w:sz w:val="20"/>
          <w:szCs w:val="20"/>
        </w:rPr>
        <w:t>During the third quarter of 2022, we began marketing for sale our Roth Hall Residential Reentry Center and the Walke</w:t>
      </w:r>
      <w:r>
        <w:rPr>
          <w:sz w:val="20"/>
          <w:szCs w:val="20"/>
        </w:rPr>
        <w:t>r Hall Residential Reentry Center, both of which are located in Philadelphia, Pennsylvania. Several third parties have expressed an interest in purchasing the properties, and we believe we will be able to sell these properties within the next twelve months</w:t>
      </w:r>
      <w:r>
        <w:rPr>
          <w:sz w:val="20"/>
          <w:szCs w:val="20"/>
        </w:rPr>
        <w:t xml:space="preserve"> and, therefore, have classified them as held for sale as of December 31, 2022. However, we have not yet reached a definitive agreement to sell the properties and can provide no assurance that we will complete the sale of either of these properties. The ne</w:t>
      </w:r>
      <w:r>
        <w:rPr>
          <w:sz w:val="20"/>
          <w:szCs w:val="20"/>
        </w:rPr>
        <w:t>t book value of these properties is $5.8 million</w:t>
      </w:r>
      <w:r>
        <w:rPr>
          <w:sz w:val="20"/>
          <w:szCs w:val="20"/>
        </w:rPr>
        <w:t>.</w:t>
      </w:r>
    </w:p>
    <w:p w:rsidR="00000000" w:rsidRDefault="006D723D">
      <w:pPr>
        <w:pStyle w:val="a3"/>
        <w:spacing w:before="240" w:beforeAutospacing="0" w:after="0" w:afterAutospacing="0"/>
        <w:jc w:val="both"/>
        <w:rPr>
          <w:sz w:val="20"/>
          <w:szCs w:val="20"/>
        </w:rPr>
      </w:pPr>
      <w:r>
        <w:rPr>
          <w:sz w:val="20"/>
          <w:szCs w:val="20"/>
        </w:rPr>
        <w:t>On December 6, 2022, we received notice from the CDCR of its intent to terminate the lease agreement for our 2,560-bed California City Correctional Center by March 31, 2024, due to the state's declining inm</w:t>
      </w:r>
      <w:r>
        <w:rPr>
          <w:sz w:val="20"/>
          <w:szCs w:val="20"/>
        </w:rPr>
        <w:t>ate population. The lease agreement is fully funded through the state of California's current fiscal year ending June 30, 2023. Funding for the lease of the facility for the 2024 fiscal year, beginning July 1, 2023, will be determined in the California leg</w:t>
      </w:r>
      <w:r>
        <w:rPr>
          <w:sz w:val="20"/>
          <w:szCs w:val="20"/>
        </w:rPr>
        <w:t>islature in the first half of 2023 as part of the annual budget process. As part of this process, we plan to engage with the state of California regarding the continued utilization of the California City facility by the CDCR. However, we can provide no ass</w:t>
      </w:r>
      <w:r>
        <w:rPr>
          <w:sz w:val="20"/>
          <w:szCs w:val="20"/>
        </w:rPr>
        <w:t>urance that we will be successful in reaching an agreement for the utilization of the facility beyond June 30, 2023. Rental revenue generated from the CDCR at the California City facility was $34.0 million and $33.3 million for the twelve months ended Dece</w:t>
      </w:r>
      <w:r>
        <w:rPr>
          <w:sz w:val="20"/>
          <w:szCs w:val="20"/>
        </w:rPr>
        <w:t>mber 31, 2022 and 2021, respectively. Facility net operating income at this facility was $27.9 million and $27.4 million during 2022 and 2021, respectively</w:t>
      </w:r>
      <w:r>
        <w:rPr>
          <w:sz w:val="20"/>
          <w:szCs w:val="20"/>
        </w:rPr>
        <w:t>.</w:t>
      </w:r>
    </w:p>
    <w:p w:rsidR="00000000" w:rsidRDefault="006D723D">
      <w:pPr>
        <w:pStyle w:val="a3"/>
        <w:spacing w:before="240" w:beforeAutospacing="0" w:after="0" w:afterAutospacing="0"/>
        <w:jc w:val="center"/>
        <w:rPr>
          <w:sz w:val="20"/>
          <w:szCs w:val="20"/>
        </w:rPr>
      </w:pPr>
      <w:r>
        <w:rPr>
          <w:sz w:val="20"/>
          <w:szCs w:val="20"/>
        </w:rPr>
        <w:t>8</w:t>
      </w:r>
      <w:r>
        <w:rPr>
          <w:sz w:val="20"/>
          <w:szCs w:val="20"/>
        </w:rPr>
        <w:t>1</w:t>
      </w:r>
    </w:p>
    <w:p w:rsidR="00000000" w:rsidRDefault="006D723D">
      <w:pPr>
        <w:rPr>
          <w:rFonts w:eastAsia="Times New Roman"/>
        </w:rPr>
      </w:pPr>
      <w:r>
        <w:rPr>
          <w:rFonts w:eastAsia="Times New Roman"/>
        </w:rPr>
        <w:pict>
          <v:rect id="_x0000_i1105"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360" w:beforeAutospacing="0" w:after="0" w:afterAutospacing="0"/>
        <w:jc w:val="both"/>
        <w:rPr>
          <w:sz w:val="20"/>
          <w:szCs w:val="20"/>
        </w:rPr>
      </w:pPr>
      <w:r>
        <w:rPr>
          <w:b/>
          <w:bCs/>
          <w:i/>
          <w:iCs/>
          <w:sz w:val="20"/>
          <w:szCs w:val="20"/>
        </w:rPr>
        <w:t>General and administrative expens</w:t>
      </w:r>
      <w:r>
        <w:rPr>
          <w:b/>
          <w:bCs/>
          <w:i/>
          <w:iCs/>
          <w:sz w:val="20"/>
          <w:szCs w:val="20"/>
        </w:rPr>
        <w:t>e</w:t>
      </w:r>
    </w:p>
    <w:p w:rsidR="00000000" w:rsidRDefault="006D723D">
      <w:pPr>
        <w:pStyle w:val="a3"/>
        <w:spacing w:before="120" w:beforeAutospacing="0" w:after="0" w:afterAutospacing="0"/>
        <w:jc w:val="both"/>
        <w:rPr>
          <w:sz w:val="20"/>
          <w:szCs w:val="20"/>
        </w:rPr>
      </w:pPr>
      <w:r>
        <w:rPr>
          <w:sz w:val="20"/>
          <w:szCs w:val="20"/>
        </w:rPr>
        <w:t>For the years ended December 31, 2022 and 2021, general and administrative expenses totaled $127.7 million and $135.8 million, respectively. General and administrative expenses consis</w:t>
      </w:r>
      <w:r>
        <w:rPr>
          <w:sz w:val="20"/>
          <w:szCs w:val="20"/>
        </w:rPr>
        <w:t>t primarily of corporate management salaries and benefits, professional fees, and other administrative expenses. General and administrative expenses decreased from the prior year period primarily as a result of a decreas</w:t>
      </w:r>
      <w:r>
        <w:rPr>
          <w:sz w:val="20"/>
          <w:szCs w:val="20"/>
        </w:rPr>
        <w:t>e</w:t>
      </w:r>
      <w:r>
        <w:rPr>
          <w:sz w:val="20"/>
          <w:szCs w:val="20"/>
        </w:rPr>
        <w:t xml:space="preserve"> in corporate management salaries a</w:t>
      </w:r>
      <w:r>
        <w:rPr>
          <w:sz w:val="20"/>
          <w:szCs w:val="20"/>
        </w:rPr>
        <w:t>nd benefits, which was largely related to lower incentive-based compensatio</w:t>
      </w:r>
      <w:r>
        <w:rPr>
          <w:sz w:val="20"/>
          <w:szCs w:val="20"/>
        </w:rPr>
        <w:t>n</w:t>
      </w:r>
      <w:r>
        <w:rPr>
          <w:sz w:val="20"/>
          <w:szCs w:val="20"/>
        </w:rPr>
        <w:t>.</w:t>
      </w:r>
    </w:p>
    <w:p w:rsidR="00000000" w:rsidRDefault="006D723D">
      <w:pPr>
        <w:pStyle w:val="a3"/>
        <w:spacing w:before="360" w:beforeAutospacing="0" w:after="0" w:afterAutospacing="0"/>
        <w:jc w:val="both"/>
        <w:rPr>
          <w:sz w:val="20"/>
          <w:szCs w:val="20"/>
        </w:rPr>
      </w:pPr>
      <w:r>
        <w:rPr>
          <w:b/>
          <w:bCs/>
          <w:i/>
          <w:iCs/>
          <w:sz w:val="20"/>
          <w:szCs w:val="20"/>
        </w:rPr>
        <w:t>Depreciation and Amortizatio</w:t>
      </w:r>
      <w:r>
        <w:rPr>
          <w:b/>
          <w:bCs/>
          <w:i/>
          <w:iCs/>
          <w:sz w:val="20"/>
          <w:szCs w:val="20"/>
        </w:rPr>
        <w:t>n</w:t>
      </w:r>
    </w:p>
    <w:p w:rsidR="00000000" w:rsidRDefault="006D723D">
      <w:pPr>
        <w:pStyle w:val="a3"/>
        <w:spacing w:before="120" w:beforeAutospacing="0" w:after="0" w:afterAutospacing="0"/>
        <w:jc w:val="both"/>
        <w:rPr>
          <w:sz w:val="20"/>
          <w:szCs w:val="20"/>
        </w:rPr>
      </w:pPr>
      <w:r>
        <w:rPr>
          <w:sz w:val="20"/>
          <w:szCs w:val="20"/>
        </w:rPr>
        <w:t>For the years ended December 31, 2022 and 2021, depreciation and amortization expense totaled $127.9 million and $134.7 million, respectively. Depre</w:t>
      </w:r>
      <w:r>
        <w:rPr>
          <w:sz w:val="20"/>
          <w:szCs w:val="20"/>
        </w:rPr>
        <w:t>ciation and amortization expense decreased</w:t>
      </w:r>
      <w:r>
        <w:rPr>
          <w:sz w:val="20"/>
          <w:szCs w:val="20"/>
        </w:rPr>
        <w:t xml:space="preserve"> </w:t>
      </w:r>
      <w:r>
        <w:rPr>
          <w:sz w:val="20"/>
          <w:szCs w:val="20"/>
        </w:rPr>
        <w:t>due to certain information technology equipment becoming fully depreciated. In addition, the decrease in depreciation and amortization expense was due t</w:t>
      </w:r>
      <w:r>
        <w:rPr>
          <w:sz w:val="20"/>
          <w:szCs w:val="20"/>
        </w:rPr>
        <w:t>o</w:t>
      </w:r>
      <w:r>
        <w:rPr>
          <w:sz w:val="20"/>
          <w:szCs w:val="20"/>
        </w:rPr>
        <w:t xml:space="preserve"> the contract termination at the Marion County Jail and the </w:t>
      </w:r>
      <w:r>
        <w:rPr>
          <w:sz w:val="20"/>
          <w:szCs w:val="20"/>
        </w:rPr>
        <w:t>sales of our Fox Facility and Training Center and our Ulster Facility, all of which occurred during the first quarter of 2022, and the sale of our McRae Correctional Facility in the third quarter of 2022</w:t>
      </w:r>
      <w:r>
        <w:rPr>
          <w:sz w:val="20"/>
          <w:szCs w:val="20"/>
        </w:rPr>
        <w:t>.</w:t>
      </w:r>
    </w:p>
    <w:p w:rsidR="00000000" w:rsidRDefault="006D723D">
      <w:pPr>
        <w:pStyle w:val="a3"/>
        <w:spacing w:before="360" w:beforeAutospacing="0" w:after="0" w:afterAutospacing="0"/>
        <w:jc w:val="both"/>
        <w:rPr>
          <w:sz w:val="20"/>
          <w:szCs w:val="20"/>
        </w:rPr>
      </w:pPr>
      <w:r>
        <w:rPr>
          <w:b/>
          <w:bCs/>
          <w:i/>
          <w:iCs/>
          <w:sz w:val="20"/>
          <w:szCs w:val="20"/>
        </w:rPr>
        <w:t>Shareholder litigation expens</w:t>
      </w:r>
      <w:r>
        <w:rPr>
          <w:b/>
          <w:bCs/>
          <w:i/>
          <w:iCs/>
          <w:sz w:val="20"/>
          <w:szCs w:val="20"/>
        </w:rPr>
        <w:t>e</w:t>
      </w:r>
    </w:p>
    <w:p w:rsidR="00000000" w:rsidRDefault="006D723D">
      <w:pPr>
        <w:pStyle w:val="a3"/>
        <w:spacing w:before="120" w:beforeAutospacing="0" w:after="0" w:afterAutospacing="0"/>
        <w:jc w:val="both"/>
        <w:rPr>
          <w:sz w:val="20"/>
          <w:szCs w:val="20"/>
        </w:rPr>
      </w:pPr>
      <w:r>
        <w:rPr>
          <w:sz w:val="20"/>
          <w:szCs w:val="20"/>
        </w:rPr>
        <w:t>On April 16, 2021, w</w:t>
      </w:r>
      <w:r>
        <w:rPr>
          <w:sz w:val="20"/>
          <w:szCs w:val="20"/>
        </w:rPr>
        <w:t>e reached an agreement in principle to settle a purported securities class action lawsuit that was filed on August 23, 2016 in the United States District Court for the Middle District of Tennessee, or the District Court, captioned</w:t>
      </w:r>
      <w:r>
        <w:rPr>
          <w:sz w:val="20"/>
          <w:szCs w:val="20"/>
        </w:rPr>
        <w:t xml:space="preserve"> </w:t>
      </w:r>
      <w:r>
        <w:rPr>
          <w:i/>
          <w:iCs/>
          <w:sz w:val="20"/>
          <w:szCs w:val="20"/>
        </w:rPr>
        <w:t>Grae v. Corrections Corpo</w:t>
      </w:r>
      <w:r>
        <w:rPr>
          <w:i/>
          <w:iCs/>
          <w:sz w:val="20"/>
          <w:szCs w:val="20"/>
        </w:rPr>
        <w:t>ration of America et a</w:t>
      </w:r>
      <w:r>
        <w:rPr>
          <w:i/>
          <w:iCs/>
          <w:sz w:val="20"/>
          <w:szCs w:val="20"/>
        </w:rPr>
        <w:t>l</w:t>
      </w:r>
      <w:r>
        <w:rPr>
          <w:sz w:val="20"/>
          <w:szCs w:val="20"/>
        </w:rPr>
        <w:t xml:space="preserve">. The monetary terms of the settlement included a payment of $56.0 million in return for a dismissal of the case with prejudice and a full release of all claims against all defendants. The settlement agreement, which was approved by </w:t>
      </w:r>
      <w:r>
        <w:rPr>
          <w:sz w:val="20"/>
          <w:szCs w:val="20"/>
        </w:rPr>
        <w:t>the District Court on November 8, 2021, contains no admission of liability, wrongdoing, or responsibility by any of the defendants, including us. As a result of the settlement, we recognized an expense of $54.3 million during 2021, which was net of the rem</w:t>
      </w:r>
      <w:r>
        <w:rPr>
          <w:sz w:val="20"/>
          <w:szCs w:val="20"/>
        </w:rPr>
        <w:t>aining insurance available under the Company's policies. We paid the settlement amount in May 2021</w:t>
      </w:r>
      <w:r>
        <w:rPr>
          <w:sz w:val="20"/>
          <w:szCs w:val="20"/>
        </w:rPr>
        <w:t>.</w: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jc w:val="both"/>
        <w:rPr>
          <w:sz w:val="20"/>
          <w:szCs w:val="20"/>
        </w:rPr>
      </w:pPr>
      <w:r>
        <w:rPr>
          <w:sz w:val="20"/>
          <w:szCs w:val="20"/>
        </w:rPr>
        <w:t>We were also named along with several of our directors in six derivative lawsuits which raise similar allegations to those raised in the</w:t>
      </w:r>
      <w:r>
        <w:rPr>
          <w:sz w:val="20"/>
          <w:szCs w:val="20"/>
        </w:rPr>
        <w:t xml:space="preserve"> </w:t>
      </w:r>
      <w:r>
        <w:rPr>
          <w:i/>
          <w:iCs/>
          <w:sz w:val="20"/>
          <w:szCs w:val="20"/>
        </w:rPr>
        <w:t>Gra</w:t>
      </w:r>
      <w:r>
        <w:rPr>
          <w:i/>
          <w:iCs/>
          <w:sz w:val="20"/>
          <w:szCs w:val="20"/>
        </w:rPr>
        <w:t>e</w:t>
      </w:r>
      <w:r>
        <w:rPr>
          <w:sz w:val="20"/>
          <w:szCs w:val="20"/>
        </w:rPr>
        <w:t xml:space="preserve"> securities l</w:t>
      </w:r>
      <w:r>
        <w:rPr>
          <w:sz w:val="20"/>
          <w:szCs w:val="20"/>
        </w:rPr>
        <w:t xml:space="preserve">itigation. On June 17, 2022, we and derivative plaintiffs informed the District Court that the parties had reached an agreement as to the plaintiffs' attorneys' fees and expenses, including $1.9 million we expensed in 2022. The final settlement, which was </w:t>
      </w:r>
      <w:r>
        <w:rPr>
          <w:sz w:val="20"/>
          <w:szCs w:val="20"/>
        </w:rPr>
        <w:t>approved by the District Court on December 2, 2022, also calls for us to adopt certain governance changes, which we are implementing</w:t>
      </w:r>
      <w:r>
        <w:rPr>
          <w:sz w:val="20"/>
          <w:szCs w:val="20"/>
        </w:rPr>
        <w:t>.</w:t>
      </w:r>
    </w:p>
    <w:p w:rsidR="00000000" w:rsidRDefault="006D723D">
      <w:pPr>
        <w:pStyle w:val="a3"/>
        <w:spacing w:before="360" w:beforeAutospacing="0" w:after="0" w:afterAutospacing="0"/>
        <w:jc w:val="both"/>
        <w:rPr>
          <w:sz w:val="20"/>
          <w:szCs w:val="20"/>
        </w:rPr>
      </w:pPr>
      <w:r>
        <w:rPr>
          <w:b/>
          <w:bCs/>
          <w:i/>
          <w:iCs/>
          <w:sz w:val="20"/>
          <w:szCs w:val="20"/>
        </w:rPr>
        <w:t>Asset impairment</w:t>
      </w:r>
      <w:r>
        <w:rPr>
          <w:b/>
          <w:bCs/>
          <w:i/>
          <w:iCs/>
          <w:sz w:val="20"/>
          <w:szCs w:val="20"/>
        </w:rPr>
        <w:t>s</w:t>
      </w:r>
    </w:p>
    <w:p w:rsidR="00000000" w:rsidRDefault="006D723D">
      <w:pPr>
        <w:pStyle w:val="a3"/>
        <w:spacing w:before="120" w:beforeAutospacing="0" w:after="0" w:afterAutospacing="0"/>
        <w:jc w:val="both"/>
        <w:rPr>
          <w:sz w:val="20"/>
          <w:szCs w:val="20"/>
        </w:rPr>
      </w:pPr>
      <w:r>
        <w:rPr>
          <w:sz w:val="20"/>
          <w:szCs w:val="20"/>
        </w:rPr>
        <w:t xml:space="preserve">Pursuant to the agreement to sell the Oklahoma City Transitional Center in our Community segment, which </w:t>
      </w:r>
      <w:r>
        <w:rPr>
          <w:sz w:val="20"/>
          <w:szCs w:val="20"/>
        </w:rPr>
        <w:t xml:space="preserve">closed in the fourth quarter of 2022, we recognized an impairment charge of $3.5 million during the third quarter of 2022 associated with this facility, based on its estimated fair value less costs to sell. Additionally, during the fourth quarter of 2022, </w:t>
      </w:r>
      <w:r>
        <w:rPr>
          <w:sz w:val="20"/>
          <w:szCs w:val="20"/>
        </w:rPr>
        <w:t>we recognized an impairment charge of $0.7 million pursuant to an agreement to sell the 60-bed Columbine Facility in Denver, Colorado. The Columbine Facility is an idle residential reentry facility in our Community segment</w:t>
      </w:r>
      <w:r>
        <w:rPr>
          <w:sz w:val="20"/>
          <w:szCs w:val="20"/>
        </w:rPr>
        <w:t>.</w:t>
      </w:r>
    </w:p>
    <w:p w:rsidR="00000000" w:rsidRDefault="006D723D">
      <w:pPr>
        <w:pStyle w:val="a3"/>
        <w:spacing w:before="120" w:beforeAutospacing="0" w:after="0" w:afterAutospacing="0"/>
        <w:jc w:val="both"/>
        <w:rPr>
          <w:sz w:val="20"/>
          <w:szCs w:val="20"/>
        </w:rPr>
      </w:pPr>
      <w:r>
        <w:rPr>
          <w:sz w:val="20"/>
          <w:szCs w:val="20"/>
        </w:rPr>
        <w:t xml:space="preserve">Asset impairment charges during </w:t>
      </w:r>
      <w:r>
        <w:rPr>
          <w:sz w:val="20"/>
          <w:szCs w:val="20"/>
        </w:rPr>
        <w:t>2021 include $5.2 million for the impairment of pre-development activities recognized in the third quarter of 2021 in our Properties segment. The impairment was a result of lease terminations with the state of Alabama, as previously described in our Annual</w:t>
      </w:r>
      <w:r>
        <w:rPr>
          <w:sz w:val="20"/>
          <w:szCs w:val="20"/>
        </w:rPr>
        <w:t xml:space="preserve"> Report on Form 10-K for the year ended December 31, 2021, filed with the Securities and Exchange Commission, or SEC, on February 18, 2022. Asset impairment charges during 2021 also include the impairment of $2.9 million for goodwill and other assets assoc</w:t>
      </w:r>
      <w:r>
        <w:rPr>
          <w:sz w:val="20"/>
          <w:szCs w:val="20"/>
        </w:rPr>
        <w:t>iated with the anticipated termination of a managed-only contract in our Safety segment recognized during the second quarter of 2021, $1.3 million for the impairment of real estate assets recognized during the first quarter of 2021 for a facility in our Pr</w:t>
      </w:r>
      <w:r>
        <w:rPr>
          <w:sz w:val="20"/>
          <w:szCs w:val="20"/>
        </w:rPr>
        <w:t>operties segment that was sold during the second quarter of 2021, and $2.0 million recognized during the fourth quarter of 2021 for the impairment of real estate for a facility in our Community segment that was classified as held for sale as of December 31</w:t>
      </w:r>
      <w:r>
        <w:rPr>
          <w:sz w:val="20"/>
          <w:szCs w:val="20"/>
        </w:rPr>
        <w:t>, 2021</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8</w:t>
      </w:r>
      <w:r>
        <w:rPr>
          <w:sz w:val="20"/>
          <w:szCs w:val="20"/>
        </w:rPr>
        <w:t>2</w:t>
      </w:r>
    </w:p>
    <w:p w:rsidR="00000000" w:rsidRDefault="006D723D">
      <w:pPr>
        <w:rPr>
          <w:rFonts w:eastAsia="Times New Roman"/>
        </w:rPr>
      </w:pPr>
      <w:r>
        <w:rPr>
          <w:rFonts w:eastAsia="Times New Roman"/>
        </w:rPr>
        <w:pict>
          <v:rect id="_x0000_i1106"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360" w:beforeAutospacing="0" w:after="0" w:afterAutospacing="0"/>
        <w:jc w:val="both"/>
        <w:rPr>
          <w:sz w:val="20"/>
          <w:szCs w:val="20"/>
        </w:rPr>
      </w:pPr>
      <w:r>
        <w:rPr>
          <w:b/>
          <w:bCs/>
          <w:i/>
          <w:iCs/>
          <w:sz w:val="20"/>
          <w:szCs w:val="20"/>
        </w:rPr>
        <w:t>Interest expense, ne</w:t>
      </w:r>
      <w:r>
        <w:rPr>
          <w:b/>
          <w:bCs/>
          <w:i/>
          <w:iCs/>
          <w:sz w:val="20"/>
          <w:szCs w:val="20"/>
        </w:rPr>
        <w:t>t</w:t>
      </w:r>
    </w:p>
    <w:p w:rsidR="00000000" w:rsidRDefault="006D723D">
      <w:pPr>
        <w:pStyle w:val="a3"/>
        <w:spacing w:before="120" w:beforeAutospacing="0" w:after="0" w:afterAutospacing="0"/>
        <w:jc w:val="both"/>
        <w:rPr>
          <w:sz w:val="20"/>
          <w:szCs w:val="20"/>
        </w:rPr>
      </w:pPr>
      <w:r>
        <w:rPr>
          <w:sz w:val="20"/>
          <w:szCs w:val="20"/>
        </w:rPr>
        <w:t>As discussed in more detail hereinafter, on May 12, 2022, we entered into a Third Amended and Restated Credit Agreement, or the New Bank Credit Facility, in an aggregate principal amou</w:t>
      </w:r>
      <w:r>
        <w:rPr>
          <w:sz w:val="20"/>
          <w:szCs w:val="20"/>
        </w:rPr>
        <w:t>nt of $350.0 million, consisting of a $100.0 million term loan, or the New Term Loan A, and a $250.0 million revolving credit facility, or the New Revolving Credit Facility. The New Bank Credit Facility replaced the Second Amended and Restated Credit Agree</w:t>
      </w:r>
      <w:r>
        <w:rPr>
          <w:sz w:val="20"/>
          <w:szCs w:val="20"/>
        </w:rPr>
        <w:t>ment, or the Previous Bank Credit Facility, which was in an aggregate principal amount of $1.0 billion and consisted of a term loan with an original principal balance of $200.0 million, or the Previous Term Loan A, and a revolving credit facility with a bo</w:t>
      </w:r>
      <w:r>
        <w:rPr>
          <w:sz w:val="20"/>
          <w:szCs w:val="20"/>
        </w:rPr>
        <w:t>rrowing capacity of $800.0 million, or the Previous Revolving Credit Facility. The New Bank Credit Facility extends the maturity to May 2026 from the April 2023 maturity under the Previous Bank Credit Facility. The New Bank Credit Facility and the Previous</w:t>
      </w:r>
      <w:r>
        <w:rPr>
          <w:sz w:val="20"/>
          <w:szCs w:val="20"/>
        </w:rPr>
        <w:t xml:space="preserve"> Bank Credit Facility are together referred to herein as the Bank Credit Facility</w:t>
      </w:r>
      <w:r>
        <w:rPr>
          <w:sz w:val="20"/>
          <w:szCs w:val="20"/>
        </w:rPr>
        <w:t>.</w:t>
      </w:r>
    </w:p>
    <w:p w:rsidR="00000000" w:rsidRDefault="006D723D">
      <w:pPr>
        <w:pStyle w:val="a3"/>
        <w:spacing w:before="120" w:beforeAutospacing="0" w:after="0" w:afterAutospacing="0"/>
        <w:jc w:val="both"/>
        <w:rPr>
          <w:sz w:val="20"/>
          <w:szCs w:val="20"/>
        </w:rPr>
      </w:pPr>
      <w:r>
        <w:rPr>
          <w:sz w:val="20"/>
          <w:szCs w:val="20"/>
        </w:rPr>
        <w:t>Interest expense is reported net of interest income and capitalized interest for the years ended December 31, 2022 and 2021. Gross interest expense, net of capitalized inter</w:t>
      </w:r>
      <w:r>
        <w:rPr>
          <w:sz w:val="20"/>
          <w:szCs w:val="20"/>
        </w:rPr>
        <w:t>est, was $95.9 million and $95.5 million in 2022 and 2021, respectively. Gross interest expense was based on outstanding borrowings under our Bank Credit Facility, our Term Loan B (which we repaid in full in May 2022, as further described hereinafter), our</w:t>
      </w:r>
      <w:r>
        <w:rPr>
          <w:sz w:val="20"/>
          <w:szCs w:val="20"/>
        </w:rPr>
        <w:t xml:space="preserve"> outstanding senior unsecured notes, and our outstanding non-recourse mortgage notes, as well as the amortization of loan costs and unused facility fees. Interest expense during 2022 increased primarily as a result of the issuance of $675.0 million aggrega</w:t>
      </w:r>
      <w:r>
        <w:rPr>
          <w:sz w:val="20"/>
          <w:szCs w:val="20"/>
        </w:rPr>
        <w:t>te principal amount of 8.25% senior unsecured notes in April and September 2021, which increased the average interest rate applicable to our outstanding debt, as further described hereinafter. However, the increase in gross interest expense was almost enti</w:t>
      </w:r>
      <w:r>
        <w:rPr>
          <w:sz w:val="20"/>
          <w:szCs w:val="20"/>
        </w:rPr>
        <w:t xml:space="preserve">rely offset by a decrease in the average outstanding balance on our Previous Revolving Credit Facility (which we repaid in full in the third quarter of 2021), the redemption and repurchase of an aggregate of $426.4 million of senior unsecured notes during </w:t>
      </w:r>
      <w:r>
        <w:rPr>
          <w:sz w:val="20"/>
          <w:szCs w:val="20"/>
        </w:rPr>
        <w:t>2021, the repayment of certain non-recourse mortgage notes during 2021, the repayment of $90.0 million of the then-outstanding balance of the Term Loan B during October 2021, the $124.1 million repayment of the remaining balance of the Term Loan B during M</w:t>
      </w:r>
      <w:r>
        <w:rPr>
          <w:sz w:val="20"/>
          <w:szCs w:val="20"/>
        </w:rPr>
        <w:t>ay 2022, and the repurchase in the open market of $80.8 million principal amount of unsecured notes during 2022, all as further described hereinafter</w:t>
      </w:r>
      <w:r>
        <w:rPr>
          <w:sz w:val="20"/>
          <w:szCs w:val="20"/>
        </w:rPr>
        <w:t>.</w:t>
      </w:r>
    </w:p>
    <w:p w:rsidR="00000000" w:rsidRDefault="006D723D">
      <w:pPr>
        <w:pStyle w:val="a3"/>
        <w:spacing w:before="240" w:beforeAutospacing="0" w:after="0" w:afterAutospacing="0"/>
        <w:jc w:val="both"/>
        <w:rPr>
          <w:sz w:val="20"/>
          <w:szCs w:val="20"/>
        </w:rPr>
      </w:pPr>
      <w:r>
        <w:rPr>
          <w:sz w:val="20"/>
          <w:szCs w:val="20"/>
        </w:rPr>
        <w:t>We benefited from relatively low interest rates on our Previous Bank Credit Facility, which was largely b</w:t>
      </w:r>
      <w:r>
        <w:rPr>
          <w:sz w:val="20"/>
          <w:szCs w:val="20"/>
        </w:rPr>
        <w:t>ased on the London Interbank Offered Rate, or LIBOR. Based on our total leverage ratio, borrowings under our Previous Bank Credit Facility during most of 2021 were at the base rate plus a margin of 0.50% or at LIBOR plus a margin of 1.50%, and a commitment</w:t>
      </w:r>
      <w:r>
        <w:rPr>
          <w:sz w:val="20"/>
          <w:szCs w:val="20"/>
        </w:rPr>
        <w:t xml:space="preserve"> fee equal to 0.35% of the unfunded balance of the Previous Revolving Credit Facility. During the fourth quarter of 2021, based on a reduction in our total leverage ratio, borrowings under our Previous Bank Credit Facility decreased to a base rate plus a m</w:t>
      </w:r>
      <w:r>
        <w:rPr>
          <w:sz w:val="20"/>
          <w:szCs w:val="20"/>
        </w:rPr>
        <w:t>argin of 0.25% or LIBOR plus a margin of 1.25%, and a commitment fee equal to 0.30% of the unfunded balance of the Previous Revolving Credit Facility. Based on our current total leverage ratio, loans under our New Bank Credit Facility bear interest at a ba</w:t>
      </w:r>
      <w:r>
        <w:rPr>
          <w:sz w:val="20"/>
          <w:szCs w:val="20"/>
        </w:rPr>
        <w:t>se rate plus a margin of 2.25% or at the Bloomberg Short-Term Bank Yield Index, or BSBY, rate plus a margin of 3.25%, and a commitment fee equal to 0.45% of the unfunded balance of the New Revolving Credit Facility. Although we are exposed to rising intere</w:t>
      </w:r>
      <w:r>
        <w:rPr>
          <w:sz w:val="20"/>
          <w:szCs w:val="20"/>
        </w:rPr>
        <w:t>st rates, we have reduced our exposure to rising interest rates by paying down our variable rate debt. The only remaining variable rate debt we have is associated with our New Term Loan A, which had an outstanding balance of $96.3 million as of December 31</w:t>
      </w:r>
      <w:r>
        <w:rPr>
          <w:sz w:val="20"/>
          <w:szCs w:val="20"/>
        </w:rPr>
        <w:t>, 2022, and our New Revolving Credit Facility, which was undrawn during 2022</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On May 19, 2022, we voluntarily repaid in full the debt outstanding under our Term Loan B, amounting to $124.1 million, and satisfied all of our outstanding obligations under the Term Loan B. We did not incur any prepayment penalties in connection with the</w:t>
      </w:r>
      <w:r>
        <w:rPr>
          <w:sz w:val="20"/>
          <w:szCs w:val="20"/>
        </w:rPr>
        <w:t xml:space="preserve"> repayment of the Term Loan B, which had a scheduled maturity of December 18, 2024. The prepayment was made in full with cash on hand. The Term Loan B bore interest at LIBOR plus 4.50%, with a 1.00% LIBOR floor (or, at our option, a base rate plus 3.50%)</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The 2018 acquisition of the Capital Commerce Center located in Tallahassee, Florida was partially financed with a non-recourse mortgage note, or the Capital Commerce Note, which was fully secured by the Capital Commerce property. The Capital Commerce Note</w:t>
      </w:r>
      <w:r>
        <w:rPr>
          <w:sz w:val="20"/>
          <w:szCs w:val="20"/>
        </w:rPr>
        <w:t xml:space="preserve"> carried a fixed interest rate of 4.5%, required monthly principal and interest payments, and was scheduled to mature in January 2033. The Capital Commerce Note was fully repaid in connection with the sale of the Capital Commerce Center on May 28, 2021</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8</w:t>
      </w:r>
      <w:r>
        <w:rPr>
          <w:sz w:val="20"/>
          <w:szCs w:val="20"/>
        </w:rPr>
        <w:t>3</w:t>
      </w:r>
    </w:p>
    <w:p w:rsidR="00000000" w:rsidRDefault="006D723D">
      <w:pPr>
        <w:rPr>
          <w:rFonts w:eastAsia="Times New Roman"/>
        </w:rPr>
      </w:pPr>
      <w:r>
        <w:rPr>
          <w:rFonts w:eastAsia="Times New Roman"/>
        </w:rPr>
        <w:pict>
          <v:rect id="_x0000_i1107"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In connection with the acquisition of the SSA-Baltimore office building in 2018, a wholly-owned unrestricted subsidiary of ours assumed $157.3 million of in-place financing. The assumed non-recourse mortgage note, or</w:t>
      </w:r>
      <w:r>
        <w:rPr>
          <w:sz w:val="20"/>
          <w:szCs w:val="20"/>
        </w:rPr>
        <w:t xml:space="preserve"> the SSA Baltimore Note, carried a fixed interest rate of 4.5% and required monthly principal and interest payments, with a balloon payment of $40.0 million due at maturity in February 2034. The SSA-Baltimore Note was fully secured by the SSA-Baltimore pro</w:t>
      </w:r>
      <w:r>
        <w:rPr>
          <w:sz w:val="20"/>
          <w:szCs w:val="20"/>
        </w:rPr>
        <w:t>perty. The SSA-Baltimore Note was fully repaid in connection with the sale of the SSA-Baltimore property on June 29, 2021</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On April 14, 2021, we completed an underwritten registered public offering of $450.0 million aggregate principal amount of 8.25% sen</w:t>
      </w:r>
      <w:r>
        <w:rPr>
          <w:sz w:val="20"/>
          <w:szCs w:val="20"/>
        </w:rPr>
        <w:t xml:space="preserve">ior unsecured notes due 2026, or the Original 8.25% Senior Notes, which are guaranteed by our existing and future subsidiaries that guarantee the Bank Credit Facility. The Original 8.25% Senior Notes were priced at 99.0% of face value and as a result have </w:t>
      </w:r>
      <w:r>
        <w:rPr>
          <w:sz w:val="20"/>
          <w:szCs w:val="20"/>
        </w:rPr>
        <w:t>an effective yield to maturity of 8.50%. We used a significant amount of the net proceeds from the offering of the Original 8.25% Senior Notes (i) to redeem all of our previous $250.0 million aggregate principal amount of 5.0% senior unsecured notes, which</w:t>
      </w:r>
      <w:r>
        <w:rPr>
          <w:sz w:val="20"/>
          <w:szCs w:val="20"/>
        </w:rPr>
        <w:t xml:space="preserve"> were due in 2022, or the 5.0% Senior Notes, including the payment of the applicable "make-whole" redemption amount of $15.5 million and accrued interest, and (ii) to repurchase $149.0 million of our $350.0 million principal amount of 4.625% senior unsecur</w:t>
      </w:r>
      <w:r>
        <w:rPr>
          <w:sz w:val="20"/>
          <w:szCs w:val="20"/>
        </w:rPr>
        <w:t>ed notes due 2023, or the 4.625% Senior Notes, at an aggregate purchase price of $151.2 million in privately negotiated transactions, reducing the outstanding balance of the 4.625% Senior Notes to $201.0 million. Following the April 2021 issuance of the or</w:t>
      </w:r>
      <w:r>
        <w:rPr>
          <w:sz w:val="20"/>
          <w:szCs w:val="20"/>
        </w:rPr>
        <w:t>iginal 8.25% Senior Notes, during the balance of 2021 we purchased an additional aggregate $27.3 million of our 4.625% Senior Notes at par in open market purchases, further reducing the outstanding balance of the 4.625% Senior Notes to $173.7 million. In a</w:t>
      </w:r>
      <w:r>
        <w:rPr>
          <w:sz w:val="20"/>
          <w:szCs w:val="20"/>
        </w:rPr>
        <w:t>ddition, during 2022, we purchased an additional $19.9 million of the 4.625% Senior Notes at a weighted average purchase price approximately equal to par in open market purchases, reducing the outstanding balance of the 4.625% Senior Notes to $153.8 millio</w:t>
      </w:r>
      <w:r>
        <w:rPr>
          <w:sz w:val="20"/>
          <w:szCs w:val="20"/>
        </w:rPr>
        <w:t>n as of December 31, 2022. The "make-whole" redemption amount paid in connection with the redemption of the 5.0% Senior Notes and the aggregate price paid for the 4.625% Senior Notes in excess of the principal amount of the notes repurchased resulted in ch</w:t>
      </w:r>
      <w:r>
        <w:rPr>
          <w:sz w:val="20"/>
          <w:szCs w:val="20"/>
        </w:rPr>
        <w:t>arges of approximately $19.2 million during the second quarter of 2021, including costs associated with the repurchases and the proportionate write-off of existing debt issuance costs. The remaining net proceeds from the issuance of the Original 8.25% Seni</w:t>
      </w:r>
      <w:r>
        <w:rPr>
          <w:sz w:val="20"/>
          <w:szCs w:val="20"/>
        </w:rPr>
        <w:t>or Notes were used to pay down a portion of the amounts outstanding under the Previous Revolving Credit Facility and for general corporate purposes</w:t>
      </w:r>
      <w:r>
        <w:rPr>
          <w:sz w:val="20"/>
          <w:szCs w:val="20"/>
        </w:rPr>
        <w:t>.</w:t>
      </w:r>
    </w:p>
    <w:p w:rsidR="00000000" w:rsidRDefault="006D723D">
      <w:pPr>
        <w:pStyle w:val="a3"/>
        <w:spacing w:before="240" w:beforeAutospacing="0" w:after="0" w:afterAutospacing="0"/>
        <w:jc w:val="both"/>
        <w:rPr>
          <w:sz w:val="20"/>
          <w:szCs w:val="20"/>
        </w:rPr>
      </w:pPr>
      <w:r>
        <w:rPr>
          <w:sz w:val="20"/>
          <w:szCs w:val="20"/>
        </w:rPr>
        <w:t>On September 29, 2021, we completed an underwritten registered tack-on public offering of $225.0 million in</w:t>
      </w:r>
      <w:r>
        <w:rPr>
          <w:sz w:val="20"/>
          <w:szCs w:val="20"/>
        </w:rPr>
        <w:t xml:space="preserve"> aggregate principal amount of 8.25% Senior Notes due 2026, or the Additional 8.25% Senior Notes, at an issue price of 102.25% of their aggregate principal amount, plus accrued interest from the April 14, 2021 issue date for the Original 8.25% Senior Notes</w:t>
      </w:r>
      <w:r>
        <w:rPr>
          <w:sz w:val="20"/>
          <w:szCs w:val="20"/>
        </w:rPr>
        <w:t>, resulting in an effective yield to maturity of 7.65% for the Additional 8.25% Senior Notes. The Additional 8.25% Senior Notes and the Original 8.25% Senior Notes, together the 8.25% Senior Notes, constitute a single class of securities and have identical</w:t>
      </w:r>
      <w:r>
        <w:rPr>
          <w:sz w:val="20"/>
          <w:szCs w:val="20"/>
        </w:rPr>
        <w:t xml:space="preserve"> terms, other than issue date and issue price. The issuance of the Additional 8.25% Senior Notes increased the total aggregate principal amount of the 8.25% Senior Notes outstanding to $675.0 million. The net proceeds from the issuance of the Additional 8.</w:t>
      </w:r>
      <w:r>
        <w:rPr>
          <w:sz w:val="20"/>
          <w:szCs w:val="20"/>
        </w:rPr>
        <w:t>25% Senior Notes totaled approximately $225.5 million, after deducting the underwriting discounts and estimated offering expenses and including the original issuance premium. We used the net proceeds from the offering of the Additional 8.25% Senior Notes t</w:t>
      </w:r>
      <w:r>
        <w:rPr>
          <w:sz w:val="20"/>
          <w:szCs w:val="20"/>
        </w:rPr>
        <w:t>o pay down our Previous Revolving Credit Facility and for general corporate purposes. During 2022, we purchased $60.9 million of the 8.25% Senior Notes at a weighted average purchase price approximately equal to par in open market purchases, reducing the o</w:t>
      </w:r>
      <w:r>
        <w:rPr>
          <w:sz w:val="20"/>
          <w:szCs w:val="20"/>
        </w:rPr>
        <w:t>utstanding balance of the 8.25% Senior Notes to $614.1 million as of December 31, 2022</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Gross interest income was $10.9 million and $10.0 million in 2022 and 2021, respectively. Gross interest income is earned on notes receivable, investments, cash and ca</w:t>
      </w:r>
      <w:r>
        <w:rPr>
          <w:sz w:val="20"/>
          <w:szCs w:val="20"/>
        </w:rPr>
        <w:t>sh equivalents, and restricted cash. Interest income also includes interest income associated with the 20-year finance receivable associated with the Lansing Correctional Facility lease to the KDOC, which commenced in January 2020, and amounted to $8.7 mil</w:t>
      </w:r>
      <w:r>
        <w:rPr>
          <w:sz w:val="20"/>
          <w:szCs w:val="20"/>
        </w:rPr>
        <w:t>lion and $8.8 million in 2022 and 2021, respectively. Total capitalized interest was $1.0 million and $0.4 million during 2022 and 2021, respectively</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8</w:t>
      </w:r>
      <w:r>
        <w:rPr>
          <w:sz w:val="20"/>
          <w:szCs w:val="20"/>
        </w:rPr>
        <w:t>4</w:t>
      </w:r>
    </w:p>
    <w:p w:rsidR="00000000" w:rsidRDefault="006D723D">
      <w:pPr>
        <w:rPr>
          <w:rFonts w:eastAsia="Times New Roman"/>
        </w:rPr>
      </w:pPr>
      <w:r>
        <w:rPr>
          <w:rFonts w:eastAsia="Times New Roman"/>
        </w:rPr>
        <w:pict>
          <v:rect id="_x0000_i1108"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360" w:beforeAutospacing="0" w:after="0" w:afterAutospacing="0"/>
        <w:jc w:val="both"/>
        <w:rPr>
          <w:sz w:val="20"/>
          <w:szCs w:val="20"/>
        </w:rPr>
      </w:pPr>
      <w:r>
        <w:rPr>
          <w:b/>
          <w:bCs/>
          <w:i/>
          <w:iCs/>
          <w:sz w:val="20"/>
          <w:szCs w:val="20"/>
        </w:rPr>
        <w:t>Expenses associated with debt repayments and refinancing trans</w:t>
      </w:r>
      <w:r>
        <w:rPr>
          <w:b/>
          <w:bCs/>
          <w:i/>
          <w:iCs/>
          <w:sz w:val="20"/>
          <w:szCs w:val="20"/>
        </w:rPr>
        <w:t>action</w:t>
      </w:r>
      <w:r>
        <w:rPr>
          <w:b/>
          <w:bCs/>
          <w:i/>
          <w:iCs/>
          <w:sz w:val="20"/>
          <w:szCs w:val="20"/>
        </w:rPr>
        <w:t>s</w:t>
      </w:r>
    </w:p>
    <w:p w:rsidR="00000000" w:rsidRDefault="006D723D">
      <w:pPr>
        <w:pStyle w:val="a3"/>
        <w:spacing w:before="120" w:beforeAutospacing="0" w:after="0" w:afterAutospacing="0"/>
        <w:jc w:val="both"/>
        <w:rPr>
          <w:sz w:val="20"/>
          <w:szCs w:val="20"/>
        </w:rPr>
      </w:pPr>
      <w:r>
        <w:rPr>
          <w:sz w:val="20"/>
          <w:szCs w:val="20"/>
        </w:rPr>
        <w:t>During 2022, we incurred charges of $1.3 million for the write-off of a pro-rata portion of the loan costs associated with the aforementioned open market purchases of the 4.625% Senior Notes and the 8.25% Senior Notes, net of discounts to the princ</w:t>
      </w:r>
      <w:r>
        <w:rPr>
          <w:sz w:val="20"/>
          <w:szCs w:val="20"/>
        </w:rPr>
        <w:t>ipal balance of notes purchased. Further, as previously described, during the second quarter of 2022, we incurred charges of $0.8 million for</w:t>
      </w:r>
      <w:r>
        <w:rPr>
          <w:sz w:val="20"/>
          <w:szCs w:val="20"/>
        </w:rPr>
        <w:t xml:space="preserve"> </w:t>
      </w:r>
      <w:r>
        <w:rPr>
          <w:sz w:val="20"/>
          <w:szCs w:val="20"/>
        </w:rPr>
        <w:t>the write-off of a portion of the pre-existing loan costs associated with our Previous Bank Credit Facilit</w:t>
      </w:r>
      <w:r>
        <w:rPr>
          <w:sz w:val="20"/>
          <w:szCs w:val="20"/>
        </w:rPr>
        <w:t>y</w:t>
      </w:r>
      <w:r>
        <w:rPr>
          <w:sz w:val="20"/>
          <w:szCs w:val="20"/>
        </w:rPr>
        <w:t>, as we</w:t>
      </w:r>
      <w:r>
        <w:rPr>
          <w:sz w:val="20"/>
          <w:szCs w:val="20"/>
        </w:rPr>
        <w:t>ll as $6.0 million associated with the write-off of the remaining unamortized debt issuance costs and original issue discount resulting from the prepayment of our Term Loan B</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 xml:space="preserve">Also, as previously described, during the second quarter of 2021, we completed </w:t>
      </w:r>
      <w:r>
        <w:rPr>
          <w:sz w:val="20"/>
          <w:szCs w:val="20"/>
        </w:rPr>
        <w:t>the sales of three non-core actively leased properties in two separate transactions for a collective aggregate price of $326.0 million, generating total net proceeds of $122.6 million after the repayment of two non-recourse mortgage notes associated with t</w:t>
      </w:r>
      <w:r>
        <w:rPr>
          <w:sz w:val="20"/>
          <w:szCs w:val="20"/>
        </w:rPr>
        <w:t>wo of the properties and other transaction-related costs. In connection with the sales, we incurred charges of $32.5 million associated with the prepayment of the two non-recourse mortgage notes and non-cash charges of $0.5 million associated with the writ</w:t>
      </w:r>
      <w:r>
        <w:rPr>
          <w:sz w:val="20"/>
          <w:szCs w:val="20"/>
        </w:rPr>
        <w:t>e-off of existing debt issuance costs. Expenses associated with debt repayments and refinancing transactions during the second quarter of 2021 also included $19.2 million associated with the redemption of our $250.0 million in aggregate principal amount of</w:t>
      </w:r>
      <w:r>
        <w:rPr>
          <w:sz w:val="20"/>
          <w:szCs w:val="20"/>
        </w:rPr>
        <w:t xml:space="preserve"> 5.0% Senior Notes originally due in October 2022, as well as the aggregate price paid for our 4.625% Senior Notes in excess of the principal amount of the notes repurchased, costs associated with the repurchases, and the proportionate write-off of existin</w:t>
      </w:r>
      <w:r>
        <w:rPr>
          <w:sz w:val="20"/>
          <w:szCs w:val="20"/>
        </w:rPr>
        <w:t>g debt issuance costs. During the fourth quarter of 2021, we also reported a charge of $4.1 million for the pro-rata write-off of unamortized debt issuance costs and the original issue discount associated with the repayment of $90.0 million of the outstand</w:t>
      </w:r>
      <w:r>
        <w:rPr>
          <w:sz w:val="20"/>
          <w:szCs w:val="20"/>
        </w:rPr>
        <w:t>ing balance of the Term Loan B in October 2021</w:t>
      </w:r>
      <w:r>
        <w:rPr>
          <w:sz w:val="20"/>
          <w:szCs w:val="20"/>
        </w:rPr>
        <w:t>.</w:t>
      </w:r>
    </w:p>
    <w:p w:rsidR="00000000" w:rsidRDefault="006D723D">
      <w:pPr>
        <w:pStyle w:val="a3"/>
        <w:spacing w:before="360" w:beforeAutospacing="0" w:after="0" w:afterAutospacing="0"/>
        <w:jc w:val="both"/>
        <w:rPr>
          <w:sz w:val="20"/>
          <w:szCs w:val="20"/>
        </w:rPr>
      </w:pPr>
      <w:r>
        <w:rPr>
          <w:b/>
          <w:bCs/>
          <w:i/>
          <w:iCs/>
          <w:sz w:val="20"/>
          <w:szCs w:val="20"/>
        </w:rPr>
        <w:t>Gain on sale of real estate assets, ne</w:t>
      </w:r>
      <w:r>
        <w:rPr>
          <w:b/>
          <w:bCs/>
          <w:i/>
          <w:iCs/>
          <w:sz w:val="20"/>
          <w:szCs w:val="20"/>
        </w:rPr>
        <w:t>t</w:t>
      </w:r>
    </w:p>
    <w:p w:rsidR="00000000" w:rsidRDefault="006D723D">
      <w:pPr>
        <w:pStyle w:val="a3"/>
        <w:spacing w:before="120" w:beforeAutospacing="0" w:after="0" w:afterAutospacing="0"/>
        <w:jc w:val="both"/>
        <w:rPr>
          <w:sz w:val="20"/>
          <w:szCs w:val="20"/>
        </w:rPr>
      </w:pPr>
      <w:r>
        <w:rPr>
          <w:sz w:val="20"/>
          <w:szCs w:val="20"/>
        </w:rPr>
        <w:t>Gain on sale of real estate assets, net during the year ended December 31, 2022, primarily includes the gains on the sales of the McRae Correctional Facility in our Saf</w:t>
      </w:r>
      <w:r>
        <w:rPr>
          <w:sz w:val="20"/>
          <w:szCs w:val="20"/>
        </w:rPr>
        <w:t>ety segment and the Stockton Female Community Corrections Facility and the Long Beach Community Corrections Center in our Properties segment, all of which were recorded in the third quarter of 2022, as previously described herein. Gain on sale of real esta</w:t>
      </w:r>
      <w:r>
        <w:rPr>
          <w:sz w:val="20"/>
          <w:szCs w:val="20"/>
        </w:rPr>
        <w:t>te assets, net during 2022 also includes gains related to the sales of certain other real estate properties, including two vacant land parcels</w:t>
      </w:r>
      <w:r>
        <w:rPr>
          <w:sz w:val="20"/>
          <w:szCs w:val="20"/>
        </w:rPr>
        <w:t>.</w:t>
      </w:r>
      <w:r>
        <w:rPr>
          <w:sz w:val="20"/>
          <w:szCs w:val="20"/>
        </w:rPr>
        <w:t xml:space="preserve"> </w:t>
      </w:r>
    </w:p>
    <w:p w:rsidR="00000000" w:rsidRDefault="006D723D">
      <w:pPr>
        <w:pStyle w:val="a3"/>
        <w:spacing w:before="240" w:beforeAutospacing="0" w:after="0" w:afterAutospacing="0"/>
        <w:rPr>
          <w:sz w:val="20"/>
          <w:szCs w:val="20"/>
        </w:rPr>
      </w:pPr>
      <w:r>
        <w:rPr>
          <w:sz w:val="20"/>
          <w:szCs w:val="20"/>
        </w:rPr>
        <w:t>Gain on sale of real estate assets, net during the year ended December 31, 2021, includes the gains on the sale</w:t>
      </w:r>
      <w:r>
        <w:rPr>
          <w:sz w:val="20"/>
          <w:szCs w:val="20"/>
        </w:rPr>
        <w:t>s of the Capital Commerce Center in Florida, a 217,000 square foot warehouse property in Dayton, Ohio, and a 541,000 square foot property in Baltimore Maryland, all of which were recorded in the second quarter of 2021, as previously described herein</w:t>
      </w:r>
      <w:r>
        <w:rPr>
          <w:sz w:val="20"/>
          <w:szCs w:val="20"/>
        </w:rPr>
        <w:t>.</w:t>
      </w:r>
    </w:p>
    <w:p w:rsidR="00000000" w:rsidRDefault="006D723D">
      <w:pPr>
        <w:pStyle w:val="a3"/>
        <w:spacing w:before="360" w:beforeAutospacing="0" w:after="0" w:afterAutospacing="0"/>
        <w:jc w:val="both"/>
        <w:rPr>
          <w:sz w:val="20"/>
          <w:szCs w:val="20"/>
        </w:rPr>
      </w:pPr>
      <w:r>
        <w:rPr>
          <w:b/>
          <w:bCs/>
          <w:i/>
          <w:iCs/>
          <w:sz w:val="20"/>
          <w:szCs w:val="20"/>
        </w:rPr>
        <w:t>Incom</w:t>
      </w:r>
      <w:r>
        <w:rPr>
          <w:b/>
          <w:bCs/>
          <w:i/>
          <w:iCs/>
          <w:sz w:val="20"/>
          <w:szCs w:val="20"/>
        </w:rPr>
        <w:t>e tax expens</w:t>
      </w:r>
      <w:r>
        <w:rPr>
          <w:b/>
          <w:bCs/>
          <w:i/>
          <w:iCs/>
          <w:sz w:val="20"/>
          <w:szCs w:val="20"/>
        </w:rPr>
        <w:t>e</w:t>
      </w:r>
    </w:p>
    <w:p w:rsidR="00000000" w:rsidRDefault="006D723D">
      <w:pPr>
        <w:pStyle w:val="a3"/>
        <w:spacing w:before="120" w:beforeAutospacing="0" w:after="0" w:afterAutospacing="0"/>
        <w:jc w:val="both"/>
        <w:rPr>
          <w:sz w:val="20"/>
          <w:szCs w:val="20"/>
        </w:rPr>
      </w:pPr>
      <w:r>
        <w:rPr>
          <w:sz w:val="20"/>
          <w:szCs w:val="20"/>
        </w:rPr>
        <w:t xml:space="preserve">On August 5, 2020, we announced that our BOD unanimously approved a plan to revoke our REIT election and become a taxable C Corporation, effective January 1, 2021. As a result, we are no longer required to operate under REIT rules, including </w:t>
      </w:r>
      <w:r>
        <w:rPr>
          <w:sz w:val="20"/>
          <w:szCs w:val="20"/>
        </w:rPr>
        <w:t>the requirement to distribute at least 90% of our taxable income to our stockholders, which provides us with greater flexibility to use our free cash flow</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8</w:t>
      </w:r>
      <w:r>
        <w:rPr>
          <w:sz w:val="20"/>
          <w:szCs w:val="20"/>
        </w:rPr>
        <w:t>5</w:t>
      </w:r>
    </w:p>
    <w:p w:rsidR="00000000" w:rsidRDefault="006D723D">
      <w:pPr>
        <w:rPr>
          <w:rFonts w:eastAsia="Times New Roman"/>
        </w:rPr>
      </w:pPr>
      <w:r>
        <w:rPr>
          <w:rFonts w:eastAsia="Times New Roman"/>
        </w:rPr>
        <w:pict>
          <v:rect id="_x0000_i1109"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 xml:space="preserve">We continued to operate as a REIT for the remainder of the 2020 tax year, and existing REIT requirements and limitations, including those established by our organizational documents, remained in place until January 1, </w:t>
      </w:r>
      <w:r>
        <w:rPr>
          <w:sz w:val="20"/>
          <w:szCs w:val="20"/>
        </w:rPr>
        <w:t>2021. Effective January 1, 2021, we became subject to federal and state income taxes on our taxable income at applicable tax rates, and are no longer entitled to a tax deduction for dividends paid. During the years ended December 31, 2022 and 2021, our fin</w:t>
      </w:r>
      <w:r>
        <w:rPr>
          <w:sz w:val="20"/>
          <w:szCs w:val="20"/>
        </w:rPr>
        <w:t>ancial statements reflected an income tax expense of $43.0 million and $138.0 million, respectively. Income tax expense for 2022 included an income tax expense of $19.3 million associated with the gain on sale of real estate assets previously described, pa</w:t>
      </w:r>
      <w:r>
        <w:rPr>
          <w:sz w:val="20"/>
          <w:szCs w:val="20"/>
        </w:rPr>
        <w:t xml:space="preserve">rtially offset by an income tax benefit associated with shareholder litigation expenses, asset impairments, and expenses associated with debt repayments and refinancing transactions previously described. Income tax expense for 2021 included $114.2 million </w:t>
      </w:r>
      <w:r>
        <w:rPr>
          <w:sz w:val="20"/>
          <w:szCs w:val="20"/>
        </w:rPr>
        <w:t>primarily resulting from the revaluation of our net deferred tax liabilities due to the completion of all significant actions necessary to revoke our REIT election. No catch-up tax payments or penalties resulted from the revocation of our REIT election. In</w:t>
      </w:r>
      <w:r>
        <w:rPr>
          <w:sz w:val="20"/>
          <w:szCs w:val="20"/>
        </w:rPr>
        <w:t>come tax expense related to operations for 2021 was partially offset by an income tax benefit of $21.2 million associated with the settlement agreement reached on April 16, 2021 in connection with the shareholder litigation, incremental expenses directly a</w:t>
      </w:r>
      <w:r>
        <w:rPr>
          <w:sz w:val="20"/>
          <w:szCs w:val="20"/>
        </w:rPr>
        <w:t>ssociated with COVID-19 (reflected in operating expenses), asset impairments, and expenses associated with debt repayments and refinancing transactions, net of an income tax expense associated with the gain on sale of real estate assets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Our effective tax</w:t>
      </w:r>
      <w:r>
        <w:rPr>
          <w:sz w:val="20"/>
          <w:szCs w:val="20"/>
        </w:rPr>
        <w:t xml:space="preserve"> rate could fluctuate in the future based on changes in estimates of taxable income, the implementation of additional tax planning strategies, changes in federal or state tax rates or laws affecting tax credits available to us, changes in other tax laws, c</w:t>
      </w:r>
      <w:r>
        <w:rPr>
          <w:sz w:val="20"/>
          <w:szCs w:val="20"/>
        </w:rPr>
        <w:t>hanges in estimates related to uncertain tax positions, or changes in state apportionment factors, as well as changes in the valuation allowance applied to our deferred tax assets that are based primarily on the amount of state net operating losses and tax</w:t>
      </w:r>
      <w:r>
        <w:rPr>
          <w:sz w:val="20"/>
          <w:szCs w:val="20"/>
        </w:rPr>
        <w:t xml:space="preserve"> credits that could expire unused</w:t>
      </w:r>
      <w:r>
        <w:rPr>
          <w:sz w:val="20"/>
          <w:szCs w:val="20"/>
        </w:rPr>
        <w:t>.</w:t>
      </w:r>
    </w:p>
    <w:p w:rsidR="00000000" w:rsidRDefault="006D723D">
      <w:pPr>
        <w:pStyle w:val="a3"/>
        <w:spacing w:before="360" w:beforeAutospacing="0" w:after="0" w:afterAutospacing="0"/>
        <w:jc w:val="both"/>
        <w:rPr>
          <w:sz w:val="20"/>
          <w:szCs w:val="20"/>
        </w:rPr>
      </w:pPr>
      <w:r>
        <w:rPr>
          <w:b/>
          <w:bCs/>
          <w:sz w:val="20"/>
          <w:szCs w:val="20"/>
        </w:rPr>
        <w:t>Year Ended December 31, 2021 Compared to the Year Ended December 31, 202</w:t>
      </w:r>
      <w:r>
        <w:rPr>
          <w:b/>
          <w:bCs/>
          <w:sz w:val="20"/>
          <w:szCs w:val="20"/>
        </w:rPr>
        <w:t>0</w:t>
      </w:r>
    </w:p>
    <w:p w:rsidR="00000000" w:rsidRDefault="006D723D">
      <w:pPr>
        <w:pStyle w:val="a3"/>
        <w:spacing w:before="120" w:beforeAutospacing="0" w:after="0" w:afterAutospacing="0"/>
        <w:jc w:val="both"/>
        <w:rPr>
          <w:sz w:val="20"/>
          <w:szCs w:val="20"/>
        </w:rPr>
      </w:pPr>
      <w:r>
        <w:rPr>
          <w:sz w:val="20"/>
          <w:szCs w:val="20"/>
        </w:rPr>
        <w:t xml:space="preserve">Pursuant to Regulation S-K item 303, a detailed review of our performance for the year ended December 31, 2021 compared to our performance for the </w:t>
      </w:r>
      <w:r>
        <w:rPr>
          <w:sz w:val="20"/>
          <w:szCs w:val="20"/>
        </w:rPr>
        <w:t>year ended December 31, 2020 is set forth i</w:t>
      </w:r>
      <w:r>
        <w:rPr>
          <w:sz w:val="20"/>
          <w:szCs w:val="20"/>
        </w:rPr>
        <w:t>n</w:t>
      </w:r>
      <w:r>
        <w:rPr>
          <w:i/>
          <w:iCs/>
          <w:sz w:val="20"/>
          <w:szCs w:val="20"/>
        </w:rPr>
        <w:t xml:space="preserve"> "Part 2, Item 7. Management's Discussion and Analysis of Financial Condition and Results of Operations</w:t>
      </w:r>
      <w:r>
        <w:rPr>
          <w:i/>
          <w:iCs/>
          <w:sz w:val="20"/>
          <w:szCs w:val="20"/>
        </w:rPr>
        <w:t>"</w:t>
      </w:r>
      <w:r>
        <w:rPr>
          <w:sz w:val="20"/>
          <w:szCs w:val="20"/>
        </w:rPr>
        <w:t xml:space="preserve"> of our Annual Report on Form 10-K for the year ended December 31, 2021, filed with the SEC on February 18, </w:t>
      </w:r>
      <w:r>
        <w:rPr>
          <w:sz w:val="20"/>
          <w:szCs w:val="20"/>
        </w:rPr>
        <w:t>2022</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8</w:t>
      </w:r>
      <w:r>
        <w:rPr>
          <w:sz w:val="20"/>
          <w:szCs w:val="20"/>
        </w:rPr>
        <w:t>6</w:t>
      </w:r>
    </w:p>
    <w:p w:rsidR="00000000" w:rsidRDefault="006D723D">
      <w:pPr>
        <w:rPr>
          <w:rFonts w:eastAsia="Times New Roman"/>
        </w:rPr>
      </w:pPr>
      <w:r>
        <w:rPr>
          <w:rFonts w:eastAsia="Times New Roman"/>
        </w:rPr>
        <w:pict>
          <v:rect id="_x0000_i1110"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360" w:beforeAutospacing="0" w:after="0" w:afterAutospacing="0"/>
        <w:rPr>
          <w:sz w:val="20"/>
          <w:szCs w:val="20"/>
        </w:rPr>
      </w:pPr>
      <w:r>
        <w:rPr>
          <w:b/>
          <w:bCs/>
          <w:sz w:val="20"/>
          <w:szCs w:val="20"/>
        </w:rPr>
        <w:t>LIQUIDITY AND C</w:t>
      </w:r>
      <w:r>
        <w:rPr>
          <w:b/>
          <w:bCs/>
          <w:sz w:val="20"/>
          <w:szCs w:val="20"/>
        </w:rPr>
        <w:t>A</w:t>
      </w:r>
      <w:r>
        <w:rPr>
          <w:b/>
          <w:bCs/>
          <w:sz w:val="20"/>
          <w:szCs w:val="20"/>
        </w:rPr>
        <w:t>PITAL RESOURCE</w:t>
      </w:r>
      <w:r>
        <w:rPr>
          <w:b/>
          <w:bCs/>
          <w:sz w:val="20"/>
          <w:szCs w:val="20"/>
        </w:rPr>
        <w:t>S</w:t>
      </w:r>
    </w:p>
    <w:p w:rsidR="00000000" w:rsidRDefault="006D723D">
      <w:pPr>
        <w:pStyle w:val="a3"/>
        <w:spacing w:before="120" w:beforeAutospacing="0" w:after="0" w:afterAutospacing="0"/>
        <w:jc w:val="both"/>
        <w:rPr>
          <w:sz w:val="20"/>
          <w:szCs w:val="20"/>
        </w:rPr>
      </w:pPr>
      <w:r>
        <w:rPr>
          <w:sz w:val="20"/>
          <w:szCs w:val="20"/>
        </w:rPr>
        <w:t>Our principal capital requirements are for working capital, capital expenditures, and debt service payments, as well as outstanding commitments and contingencies, as further di</w:t>
      </w:r>
      <w:r>
        <w:rPr>
          <w:sz w:val="20"/>
          <w:szCs w:val="20"/>
        </w:rPr>
        <w:t>scussed in the notes to our financial statements. Effective January 1, 2021, we became subject to federal and state income taxes on our taxable income at applicable tax rates, and are no longer entitled to a tax deduction for dividends paid, which were ava</w:t>
      </w:r>
      <w:r>
        <w:rPr>
          <w:sz w:val="20"/>
          <w:szCs w:val="20"/>
        </w:rPr>
        <w:t>ilable when we elected REIT status. However, we believe this conversion in corporate tax structure improves our overall credit profile and will lower our overall cost of capital, as we are able to allocate our free cash flow toward the repayment of debt, w</w:t>
      </w:r>
      <w:r>
        <w:rPr>
          <w:sz w:val="20"/>
          <w:szCs w:val="20"/>
        </w:rPr>
        <w:t>hich may include the purchase of our outstanding debt in open market transactions, privately negotiated transactions or otherwise. Any such debt repurchases will depend upon prevailing market conditions, our liquidity requirements, contractual requirements</w:t>
      </w:r>
      <w:r>
        <w:rPr>
          <w:sz w:val="20"/>
          <w:szCs w:val="20"/>
        </w:rPr>
        <w:t>, applicable securities laws requirements, and other factors. During 2021 and 2022, we repaid $581.2 million of debt, net of the change in cash. Following our first priority of utilizing free cash flow to reduce debt, we expect to allocate a substantial po</w:t>
      </w:r>
      <w:r>
        <w:rPr>
          <w:sz w:val="20"/>
          <w:szCs w:val="20"/>
        </w:rPr>
        <w:t>rtion of our free cash flow to returning capital to our shareholders, which could include share repurchases and future dividends. Any future dividend is subject to the BOD's determinations as to the amount of distributions and the timing thereof, as well a</w:t>
      </w:r>
      <w:r>
        <w:rPr>
          <w:sz w:val="20"/>
          <w:szCs w:val="20"/>
        </w:rPr>
        <w:t>s limitations under the Company's debt covenants. We were not able to implement a meaningful share repurchase program under the REIT structure without increasing our debt because a substantial portion of our free cash flow was required to satisfy the distr</w:t>
      </w:r>
      <w:r>
        <w:rPr>
          <w:sz w:val="20"/>
          <w:szCs w:val="20"/>
        </w:rPr>
        <w:t>ibution requirements under the REIT structure. On May 2, 2022, the BOD approved a share repurchase program to purchase up to $150.0 million of our common stock. On August 2, 2022, the BOD increased the authorization to repurchase under the share repurchase</w:t>
      </w:r>
      <w:r>
        <w:rPr>
          <w:sz w:val="20"/>
          <w:szCs w:val="20"/>
        </w:rPr>
        <w:t xml:space="preserve"> program by up to an additional $75.0 million of our common stock, which resulted in a total aggregate authorized amount to repurchase up to $225.0 million of our common stock. Repurchases of our outstanding common stock will be made in accordance with app</w:t>
      </w:r>
      <w:r>
        <w:rPr>
          <w:sz w:val="20"/>
          <w:szCs w:val="20"/>
        </w:rPr>
        <w:t>licable securities laws and may be made at our discretion based on parameters set by our BOD from time to time in the open market, through privately negotiated transactions, or otherwise. The share repurchase program has no time limit and does not obligate</w:t>
      </w:r>
      <w:r>
        <w:rPr>
          <w:sz w:val="20"/>
          <w:szCs w:val="20"/>
        </w:rPr>
        <w:t xml:space="preserve"> us to purchase any particular amount of our common stock. The authorization for the share repurchase program may be terminated, suspended, increased or decreased by the BOD in its discretion at any time. Through December 31, 2022, we completed the repurch</w:t>
      </w:r>
      <w:r>
        <w:rPr>
          <w:sz w:val="20"/>
          <w:szCs w:val="20"/>
        </w:rPr>
        <w:t>ase of 6.6 million shares of our common stock at a total cost of $74.5 million, using cash on hand and cash provided by operations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 xml:space="preserve">We will also pursue attractive growth opportunities, including new development opportunities in our Properties segment, to </w:t>
      </w:r>
      <w:r>
        <w:rPr>
          <w:sz w:val="20"/>
          <w:szCs w:val="20"/>
        </w:rPr>
        <w:t>meet the need to modernize outdated correctional infrastructure across the country, and explore potential opportunities to expand the scope of non-residential correctional alternatives we provide in our Community segment that were not available under the R</w:t>
      </w:r>
      <w:r>
        <w:rPr>
          <w:sz w:val="20"/>
          <w:szCs w:val="20"/>
        </w:rPr>
        <w:t>EIT structure. As a REIT, we depended on the capital markets to provide resources we could deploy toward acquisition and development opportunities. This capital was not always available to us and came at an increasing cost. The revocation of our REIT elect</w:t>
      </w:r>
      <w:r>
        <w:rPr>
          <w:sz w:val="20"/>
          <w:szCs w:val="20"/>
        </w:rPr>
        <w:t>ion provides us with significantly more liquidity and financial flexibility, which enables us to reduce our reliance on the capital markets and enabled us to reduce the size of our Bank Credit Facility</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With the extensively aged criminal justice infrastru</w:t>
      </w:r>
      <w:r>
        <w:rPr>
          <w:sz w:val="20"/>
          <w:szCs w:val="20"/>
        </w:rPr>
        <w:t>cture in the U.S. today, we believe we can bring real estate and financing solutions to government agencies like we did in connection with the construction of the Lansing Correctional Facility that commenced operations in January 2020. We financed the cons</w:t>
      </w:r>
      <w:r>
        <w:rPr>
          <w:sz w:val="20"/>
          <w:szCs w:val="20"/>
        </w:rPr>
        <w:t>truction of the Lansing Correctional Facility 100% with project specific financing, requiring no equity commitment from us. We believe we can also provide other real estate solutions to government agencies faced with extensively aged criminal justice infra</w:t>
      </w:r>
      <w:r>
        <w:rPr>
          <w:sz w:val="20"/>
          <w:szCs w:val="20"/>
        </w:rPr>
        <w:t>structure, including "turn-key" solutions like those we are providing to the state of Arizona in connection with the new contract that commenced during the second quarter of 2022 at our La Palma Correctional Center, as well as real estate only solutions to</w:t>
      </w:r>
      <w:r>
        <w:rPr>
          <w:sz w:val="20"/>
          <w:szCs w:val="20"/>
        </w:rPr>
        <w:t xml:space="preserve"> government agencies that need correctional capacity where they prefer to perform the operations. Most real estate only solutions would not require material capital expenditures if we have existing capacity. However, in the future we could incur capital ex</w:t>
      </w:r>
      <w:r>
        <w:rPr>
          <w:sz w:val="20"/>
          <w:szCs w:val="20"/>
        </w:rPr>
        <w:t>penditures to provide replacement capacity for government agencies that have extensively aged criminal justice infrastructure and are in need of new capacity</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 xml:space="preserve">In July 2022, we entered into a Purchase and Sale Agreement with the Georgia Building Authority </w:t>
      </w:r>
      <w:r>
        <w:rPr>
          <w:sz w:val="20"/>
          <w:szCs w:val="20"/>
        </w:rPr>
        <w:t>to purchase the 1,978-bed McRae Correctional Facility for a price of $130.0 million in order to update its aged and inefficient public sector correctional infrastructure. We completed the sale in August 2022. The sale of the McRae facility generated net sa</w:t>
      </w:r>
      <w:r>
        <w:rPr>
          <w:sz w:val="20"/>
          <w:szCs w:val="20"/>
        </w:rPr>
        <w:t xml:space="preserve">les proceeds of $129.7 million. We also sold two additional properties and a parcel of land during the third quarter of 2022 that generated net sales proceeds of approximately $15.6 million and, during the fourth quarter of 2022, we sold a property in our </w:t>
      </w:r>
      <w:r>
        <w:rPr>
          <w:sz w:val="20"/>
          <w:szCs w:val="20"/>
        </w:rPr>
        <w:t>Community segment that generated net sales proceeds of approximately $0.9 million</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8</w:t>
      </w:r>
      <w:r>
        <w:rPr>
          <w:sz w:val="20"/>
          <w:szCs w:val="20"/>
        </w:rPr>
        <w:t>7</w:t>
      </w:r>
    </w:p>
    <w:p w:rsidR="00000000" w:rsidRDefault="006D723D">
      <w:pPr>
        <w:rPr>
          <w:rFonts w:eastAsia="Times New Roman"/>
        </w:rPr>
      </w:pPr>
      <w:r>
        <w:rPr>
          <w:rFonts w:eastAsia="Times New Roman"/>
        </w:rPr>
        <w:pict>
          <v:rect id="_x0000_i1111"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During the first and second quarters of 2022 we completed the sales of two additional residential reentry facilities and a parcel of land that generated net sales proceeds of $10.8 million. As of December 31, 2022, we had three residential reentry faciliti</w:t>
      </w:r>
      <w:r>
        <w:rPr>
          <w:sz w:val="20"/>
          <w:szCs w:val="20"/>
        </w:rPr>
        <w:t xml:space="preserve">es classified as held for sale, one of which is under a Purchase &amp; Sale Agreement and is expected to be sold during the second quarter of 2023, with an aggregate net book value of $6.9 million. Any net proceeds generated from the sales of these facilities </w:t>
      </w:r>
      <w:r>
        <w:rPr>
          <w:sz w:val="20"/>
          <w:szCs w:val="20"/>
        </w:rPr>
        <w:t>would provide additional liquidity to us for general corporate purposes, which may include making repurchases under our share repurchase plan and/or reducing our outstanding indebtedness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As of December 31, 2022, we had cash on hand of $149.4 million, and</w:t>
      </w:r>
      <w:r>
        <w:rPr>
          <w:sz w:val="20"/>
          <w:szCs w:val="20"/>
        </w:rPr>
        <w:t xml:space="preserve"> $233.2 million available under our New Revolving Credit Facility. During the years ended December 31, 2022 and 2021, we generated $153.6 million and $263.2 million, respectively, in cash through operating activities. We currently expect to be able to meet</w:t>
      </w:r>
      <w:r>
        <w:rPr>
          <w:sz w:val="20"/>
          <w:szCs w:val="20"/>
        </w:rPr>
        <w:t xml:space="preserve"> our cash expenditure requirements for the next year and beyond utilizing cash on hand, cash flows from operations, and availability under our New Revolving Credit Facility. As of December 31, 2022, we had no debt maturities until May 2023, when the remain</w:t>
      </w:r>
      <w:r>
        <w:rPr>
          <w:sz w:val="20"/>
          <w:szCs w:val="20"/>
        </w:rPr>
        <w:t>ing $153.8 million of the 4.625% Senior Notes was scheduled to mature. On December 22, 2022, we delivered an irrevocable notice to the trustee of the holders of the 4.625% Senior Notes that we elected to redeem in full the 4.625% Senior Notes that remained</w:t>
      </w:r>
      <w:r>
        <w:rPr>
          <w:sz w:val="20"/>
          <w:szCs w:val="20"/>
        </w:rPr>
        <w:t xml:space="preserve"> outstanding on February 1, 2023. The 4.625% Senior Notes were redeemed on February 1, 2023 at a redemption price equal to 100% of the principal amount of the outstanding 4.625% Senior Notes, which amounted to $153.8 million, plus accrued and unpaid intere</w:t>
      </w:r>
      <w:r>
        <w:rPr>
          <w:sz w:val="20"/>
          <w:szCs w:val="20"/>
        </w:rPr>
        <w:t>st to, but not including, the redemption date. We used a combination of cash on hand and available capacity under our New Revolving Credit Facility to fund the redemption. Following the redemption of the 4.625% Senior Notes, we have no debt maturities unti</w:t>
      </w:r>
      <w:r>
        <w:rPr>
          <w:sz w:val="20"/>
          <w:szCs w:val="20"/>
        </w:rPr>
        <w:t>l 2026</w:t>
      </w:r>
      <w:r>
        <w:rPr>
          <w:sz w:val="20"/>
          <w:szCs w:val="20"/>
        </w:rPr>
        <w:t>.</w:t>
      </w:r>
    </w:p>
    <w:p w:rsidR="00000000" w:rsidRDefault="006D723D">
      <w:pPr>
        <w:pStyle w:val="a3"/>
        <w:spacing w:before="240" w:beforeAutospacing="0" w:after="0" w:afterAutospacing="0"/>
        <w:jc w:val="both"/>
        <w:rPr>
          <w:sz w:val="20"/>
          <w:szCs w:val="20"/>
        </w:rPr>
      </w:pPr>
      <w:r>
        <w:rPr>
          <w:sz w:val="20"/>
          <w:szCs w:val="20"/>
        </w:rPr>
        <w:t>Our cash flow is subject to the receipt of sufficient funding of and timely payment by contracting governmental entities. If the appropriate governmental agency does not receive sufficient appropriations to cover its contractual obligations, it may</w:t>
      </w:r>
      <w:r>
        <w:rPr>
          <w:sz w:val="20"/>
          <w:szCs w:val="20"/>
        </w:rPr>
        <w:t xml:space="preserve"> terminate our contract or delay or reduce payment to us. Delays in payment from our major customers or the termination of contracts from our major customers could have an adverse effect on our cash flow and financial condition. Although our revenue has be</w:t>
      </w:r>
      <w:r>
        <w:rPr>
          <w:sz w:val="20"/>
          <w:szCs w:val="20"/>
        </w:rPr>
        <w:t>en negatively impacted by COVID-19, we have not experienced any unusual delays in payments from our major customers</w:t>
      </w:r>
      <w:r>
        <w:rPr>
          <w:sz w:val="20"/>
          <w:szCs w:val="20"/>
        </w:rPr>
        <w:t>.</w:t>
      </w:r>
      <w:r>
        <w:rPr>
          <w:b/>
          <w:bCs/>
          <w:sz w:val="20"/>
          <w:szCs w:val="20"/>
        </w:rPr>
        <w:t xml:space="preserve"> </w:t>
      </w:r>
    </w:p>
    <w:p w:rsidR="00000000" w:rsidRDefault="006D723D">
      <w:pPr>
        <w:pStyle w:val="a3"/>
        <w:spacing w:before="360" w:beforeAutospacing="0" w:after="0" w:afterAutospacing="0"/>
        <w:jc w:val="both"/>
        <w:rPr>
          <w:sz w:val="20"/>
          <w:szCs w:val="20"/>
        </w:rPr>
      </w:pPr>
      <w:r>
        <w:rPr>
          <w:b/>
          <w:bCs/>
          <w:i/>
          <w:iCs/>
          <w:sz w:val="20"/>
          <w:szCs w:val="20"/>
        </w:rPr>
        <w:t>Deb</w:t>
      </w:r>
      <w:r>
        <w:rPr>
          <w:b/>
          <w:bCs/>
          <w:i/>
          <w:iCs/>
          <w:sz w:val="20"/>
          <w:szCs w:val="20"/>
        </w:rPr>
        <w:t>t</w:t>
      </w:r>
      <w:r>
        <w:rPr>
          <w:b/>
          <w:bCs/>
          <w:i/>
          <w:iCs/>
          <w:sz w:val="20"/>
          <w:szCs w:val="20"/>
        </w:rPr>
        <w:t xml:space="preserve"> </w:t>
      </w:r>
    </w:p>
    <w:p w:rsidR="00000000" w:rsidRDefault="006D723D">
      <w:pPr>
        <w:pStyle w:val="a3"/>
        <w:spacing w:before="120" w:beforeAutospacing="0" w:after="0" w:afterAutospacing="0"/>
        <w:jc w:val="both"/>
        <w:rPr>
          <w:sz w:val="20"/>
          <w:szCs w:val="20"/>
        </w:rPr>
      </w:pPr>
      <w:r>
        <w:rPr>
          <w:sz w:val="20"/>
          <w:szCs w:val="20"/>
        </w:rPr>
        <w:t>As of December 31, 2022, we had $153.8 million principal amount of unsecured notes outstanding with a fixed stated interest rate of 4.625% (which were redeemed in full on February 1, 2023, as previously noted herein), $250.0 million principal amount of uns</w:t>
      </w:r>
      <w:r>
        <w:rPr>
          <w:sz w:val="20"/>
          <w:szCs w:val="20"/>
        </w:rPr>
        <w:t>ecured notes outstanding with a fixed stated interest rate of 4.75%, and $614.1 million principal amount of unsecured notes outstanding with a fixed stated interest rate of 8.25%, or collectively, the Senior Notes. In addition, we had $150.4 million outsta</w:t>
      </w:r>
      <w:r>
        <w:rPr>
          <w:sz w:val="20"/>
          <w:szCs w:val="20"/>
        </w:rPr>
        <w:t>nding under the Kansas Notes with a fixed stated interest rate of 4.43% and $96.3 million outstanding under our New Term Loan A with a variable interest rate of 7.5%. We had $16.8 million of letters of credit outstanding under our New Revolving Credit Faci</w:t>
      </w:r>
      <w:r>
        <w:rPr>
          <w:sz w:val="20"/>
          <w:szCs w:val="20"/>
        </w:rPr>
        <w:t xml:space="preserve">lity at December 31, 2022. There was no amount outstanding under our New Revolving Credit Facility as of December 31, 2022. As of December 31, 2022, our total weighted average effective interest rate was 7.1%, while our total weighted average maturity was </w:t>
      </w:r>
      <w:r>
        <w:rPr>
          <w:sz w:val="20"/>
          <w:szCs w:val="20"/>
        </w:rPr>
        <w:t>4.9 years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 xml:space="preserve">On May 12, 2022, we entered into the New Bank Credit Facility in an aggregate principal amount of $350.0 million, consisting of the New Term Loan A with an original principal balance of $100.0 million and the New Revolving Credit Facility with </w:t>
      </w:r>
      <w:r>
        <w:rPr>
          <w:sz w:val="20"/>
          <w:szCs w:val="20"/>
        </w:rPr>
        <w:t>a borrowing capacity of $250.0 million. The New Bank Credit Facility replaced the Previous Bank Credit Facility, which was in an aggregate principal amount of $1.0 billion and consisted of the Previous Term Loan A with an original principal balance of $200</w:t>
      </w:r>
      <w:r>
        <w:rPr>
          <w:sz w:val="20"/>
          <w:szCs w:val="20"/>
        </w:rPr>
        <w:t>.0 million and the Previous Revolving Credit facility with a borrowing capacity of $800.0 million. The New Bank Credit Facility extends the maturity to May 2026 from the April 2023 maturity under the Previous Bank Credit Facility. The New Bank Credit Facil</w:t>
      </w:r>
      <w:r>
        <w:rPr>
          <w:sz w:val="20"/>
          <w:szCs w:val="20"/>
        </w:rPr>
        <w:t>ity includes an option to increase the availability under the New Revolving Credit Facility and to request term loans from the lenders in an aggregate amount not to exceed the greater of (a) $200.0 million and (b) 50% of consolidated EBITDA for the most re</w:t>
      </w:r>
      <w:r>
        <w:rPr>
          <w:sz w:val="20"/>
          <w:szCs w:val="20"/>
        </w:rPr>
        <w:t>cently ended four-quarter period, subject to, among other things, the receipt of commitments for the increased amount. At our option, interest on outstanding borrowings under the New Bank Credit Facility is based on either a base rate plus a margin ranging</w:t>
      </w:r>
      <w:r>
        <w:rPr>
          <w:sz w:val="20"/>
          <w:szCs w:val="20"/>
        </w:rPr>
        <w:t xml:space="preserve"> from 1.75% to 3.5%, or at the BSBY rate plus a margin ranging from 2.75% to 4.5% based on our then-current total leverage ratio. The New Revolving Credit Facility includes a $25.0 million sublimit for swing line loans that enables us to borrow at the base</w:t>
      </w:r>
      <w:r>
        <w:rPr>
          <w:sz w:val="20"/>
          <w:szCs w:val="20"/>
        </w:rPr>
        <w:t xml:space="preserve"> rate from the Administrative Agent on same-day notice and also has a $100.0 million sublimit for the issuance of standby letters of credit</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8</w:t>
      </w:r>
      <w:r>
        <w:rPr>
          <w:sz w:val="20"/>
          <w:szCs w:val="20"/>
        </w:rPr>
        <w:t>8</w:t>
      </w:r>
    </w:p>
    <w:p w:rsidR="00000000" w:rsidRDefault="006D723D">
      <w:pPr>
        <w:rPr>
          <w:rFonts w:eastAsia="Times New Roman"/>
        </w:rPr>
      </w:pPr>
      <w:r>
        <w:rPr>
          <w:rFonts w:eastAsia="Times New Roman"/>
        </w:rPr>
        <w:pict>
          <v:rect id="_x0000_i1112"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The New Bank Credit Facility requires us to meet certain financial coven</w:t>
      </w:r>
      <w:r>
        <w:rPr>
          <w:sz w:val="20"/>
          <w:szCs w:val="20"/>
        </w:rPr>
        <w:t>ants, including, without limitation, a total leverage ratio of not more than 4.50 to 1.00 (from 5.50 to 1.00 under the Previous Bank Credit Facility) for which we may net unrestricted cash and cash equivalents not exceeding $100.0 million when calculating,</w:t>
      </w:r>
      <w:r>
        <w:rPr>
          <w:sz w:val="20"/>
          <w:szCs w:val="20"/>
        </w:rPr>
        <w:t xml:space="preserve"> a secured leverage ratio of not more than 2.50 to 1.00 (from 3.25 to 1.00 under the Previous Bank Credit Facility) for which we may net unrestricted cash and cash equivalents not exceeding $100.0 million when calculating, and a fixed charge coverage ratio</w:t>
      </w:r>
      <w:r>
        <w:rPr>
          <w:sz w:val="20"/>
          <w:szCs w:val="20"/>
        </w:rPr>
        <w:t xml:space="preserve"> of not less than 1.75 to 1.00 (unchanged from the Previous Bank Credit Facility). The New Bank Credit Facility is secured by a pledge of all of the capital stock (or other ownership interests) of our domestic restricted subsidiaries, 65% of the capital st</w:t>
      </w:r>
      <w:r>
        <w:rPr>
          <w:sz w:val="20"/>
          <w:szCs w:val="20"/>
        </w:rPr>
        <w:t xml:space="preserve">ock (or other ownership interests) of our "first-tier" foreign subsidiaries, all of our accounts receivable and those of our domestic restricted subsidiaries, and substantially all of our deposit accounts and those of our domestic restricted subsidiaries. </w:t>
      </w:r>
      <w:r>
        <w:rPr>
          <w:sz w:val="20"/>
          <w:szCs w:val="20"/>
        </w:rPr>
        <w:t>In the event that (a) the consolidated total leverage equals or exceeds 4.00 to 1.00 or (b) we incur certain debt above a specified threshold, certain intangible assets and unencumbered real estate assets that meet a 50% loan-to-value requirement are requi</w:t>
      </w:r>
      <w:r>
        <w:rPr>
          <w:sz w:val="20"/>
          <w:szCs w:val="20"/>
        </w:rPr>
        <w:t>red to be added as collateral. In addition, the New Bank Credit Facility contains certain covenants that, among other things, limit the incurrence of additional indebtedness, payment of dividends and other customary restricted payments, permitted investmen</w:t>
      </w:r>
      <w:r>
        <w:rPr>
          <w:sz w:val="20"/>
          <w:szCs w:val="20"/>
        </w:rPr>
        <w:t>ts, transactions with affiliates, asset sales, mergers and consolidations, liquidations, prepayments and modifications of other indebtedness, liens and other encumbrances and other matters customarily restricted in such agreements. The New Bank Credit Faci</w:t>
      </w:r>
      <w:r>
        <w:rPr>
          <w:sz w:val="20"/>
          <w:szCs w:val="20"/>
        </w:rPr>
        <w:t>lity is subject to certain cross-default provisions with terms of our other unsecured indebtedness, and is subject to acceleration upon the occurrence of a change of control</w:t>
      </w:r>
      <w:r>
        <w:rPr>
          <w:sz w:val="20"/>
          <w:szCs w:val="20"/>
        </w:rPr>
        <w:t>.</w:t>
      </w:r>
      <w:r>
        <w:rPr>
          <w:sz w:val="20"/>
          <w:szCs w:val="20"/>
        </w:rPr>
        <w:t xml:space="preserve"> </w:t>
      </w:r>
    </w:p>
    <w:p w:rsidR="00000000" w:rsidRDefault="006D723D">
      <w:pPr>
        <w:pStyle w:val="a3"/>
        <w:spacing w:before="360" w:beforeAutospacing="0" w:after="0" w:afterAutospacing="0"/>
        <w:jc w:val="both"/>
        <w:rPr>
          <w:sz w:val="20"/>
          <w:szCs w:val="20"/>
        </w:rPr>
      </w:pPr>
      <w:r>
        <w:rPr>
          <w:b/>
          <w:bCs/>
          <w:sz w:val="20"/>
          <w:szCs w:val="20"/>
        </w:rPr>
        <w:t>Operating Activitie</w:t>
      </w:r>
      <w:r>
        <w:rPr>
          <w:b/>
          <w:bCs/>
          <w:sz w:val="20"/>
          <w:szCs w:val="20"/>
        </w:rPr>
        <w:t>s</w:t>
      </w:r>
    </w:p>
    <w:p w:rsidR="00000000" w:rsidRDefault="006D723D">
      <w:pPr>
        <w:pStyle w:val="a3"/>
        <w:spacing w:before="120" w:beforeAutospacing="0" w:after="0" w:afterAutospacing="0"/>
        <w:jc w:val="both"/>
        <w:rPr>
          <w:sz w:val="20"/>
          <w:szCs w:val="20"/>
        </w:rPr>
      </w:pPr>
      <w:r>
        <w:rPr>
          <w:sz w:val="20"/>
          <w:szCs w:val="20"/>
        </w:rPr>
        <w:t xml:space="preserve">Our net cash provided by operating activities for the year </w:t>
      </w:r>
      <w:r>
        <w:rPr>
          <w:sz w:val="20"/>
          <w:szCs w:val="20"/>
        </w:rPr>
        <w:t>ended December 31, 2022 was $153.6 million compared with $263.2 million in 2021. Cash provided by operating activities represents our net income (loss) plus depreciation and amortization, changes in various components of working capital, and various non-ca</w:t>
      </w:r>
      <w:r>
        <w:rPr>
          <w:sz w:val="20"/>
          <w:szCs w:val="20"/>
        </w:rPr>
        <w:t>sh charges. The reduction in cash provided by operating activities primarily resulted from a decline in facility net operating income of $93.7 million, combined with negative fluctuations in working capital during 2022, compared with 2021</w:t>
      </w:r>
      <w:r>
        <w:rPr>
          <w:sz w:val="20"/>
          <w:szCs w:val="20"/>
        </w:rPr>
        <w:t>.</w:t>
      </w:r>
      <w:r>
        <w:rPr>
          <w:sz w:val="20"/>
          <w:szCs w:val="20"/>
        </w:rPr>
        <w:t xml:space="preserve"> </w:t>
      </w:r>
    </w:p>
    <w:p w:rsidR="00000000" w:rsidRDefault="006D723D">
      <w:pPr>
        <w:pStyle w:val="a3"/>
        <w:spacing w:before="360" w:beforeAutospacing="0" w:after="0" w:afterAutospacing="0"/>
        <w:jc w:val="both"/>
        <w:rPr>
          <w:sz w:val="20"/>
          <w:szCs w:val="20"/>
        </w:rPr>
      </w:pPr>
      <w:r>
        <w:rPr>
          <w:b/>
          <w:bCs/>
          <w:sz w:val="20"/>
          <w:szCs w:val="20"/>
        </w:rPr>
        <w:t>Investing Activ</w:t>
      </w:r>
      <w:r>
        <w:rPr>
          <w:b/>
          <w:bCs/>
          <w:sz w:val="20"/>
          <w:szCs w:val="20"/>
        </w:rPr>
        <w:t>itie</w:t>
      </w:r>
      <w:r>
        <w:rPr>
          <w:b/>
          <w:bCs/>
          <w:sz w:val="20"/>
          <w:szCs w:val="20"/>
        </w:rPr>
        <w:t>s</w:t>
      </w:r>
    </w:p>
    <w:p w:rsidR="00000000" w:rsidRDefault="006D723D">
      <w:pPr>
        <w:pStyle w:val="a3"/>
        <w:spacing w:before="120" w:beforeAutospacing="0" w:after="0" w:afterAutospacing="0"/>
        <w:jc w:val="both"/>
        <w:rPr>
          <w:sz w:val="20"/>
          <w:szCs w:val="20"/>
        </w:rPr>
      </w:pPr>
      <w:r>
        <w:rPr>
          <w:sz w:val="20"/>
          <w:szCs w:val="20"/>
        </w:rPr>
        <w:t>Our cash flow provided by investing activities was $73.0 million for the year ended December 31, 2022 and was primarily attributable to $157.7 million in net proceeds from the sale of assets, partially offset by capital expenditures for facility deve</w:t>
      </w:r>
      <w:r>
        <w:rPr>
          <w:sz w:val="20"/>
          <w:szCs w:val="20"/>
        </w:rPr>
        <w:t>lopment and expansions of $23.1 million and $58.3 million for facility maintenance and information technology capital expenditures</w:t>
      </w:r>
      <w:r>
        <w:rPr>
          <w:sz w:val="20"/>
          <w:szCs w:val="20"/>
        </w:rPr>
        <w:t>.</w:t>
      </w:r>
      <w:r>
        <w:rPr>
          <w:sz w:val="20"/>
          <w:szCs w:val="20"/>
        </w:rPr>
        <w:t xml:space="preserve"> </w:t>
      </w:r>
    </w:p>
    <w:p w:rsidR="00000000" w:rsidRDefault="006D723D">
      <w:pPr>
        <w:pStyle w:val="a3"/>
        <w:spacing w:before="120" w:beforeAutospacing="0" w:after="0" w:afterAutospacing="0"/>
        <w:jc w:val="both"/>
        <w:rPr>
          <w:sz w:val="20"/>
          <w:szCs w:val="20"/>
        </w:rPr>
      </w:pPr>
      <w:r>
        <w:rPr>
          <w:sz w:val="20"/>
          <w:szCs w:val="20"/>
        </w:rPr>
        <w:t>Our cash flow provided by investing activities was $238.4 million for the year ended December 31, 2021 and was primarily at</w:t>
      </w:r>
      <w:r>
        <w:rPr>
          <w:sz w:val="20"/>
          <w:szCs w:val="20"/>
        </w:rPr>
        <w:t>tributable to $320.8 million in net proceeds from the sale of assets, partially offset by capital expenditures for facility development and expansions of $18.6 million and $62.3 million for facility maintenance and information technology capital expenditur</w:t>
      </w:r>
      <w:r>
        <w:rPr>
          <w:sz w:val="20"/>
          <w:szCs w:val="20"/>
        </w:rPr>
        <w:t>es</w:t>
      </w:r>
      <w:r>
        <w:rPr>
          <w:sz w:val="20"/>
          <w:szCs w:val="20"/>
        </w:rPr>
        <w:t>.</w:t>
      </w:r>
    </w:p>
    <w:p w:rsidR="00000000" w:rsidRDefault="006D723D">
      <w:pPr>
        <w:pStyle w:val="a3"/>
        <w:spacing w:before="360" w:beforeAutospacing="0" w:after="0" w:afterAutospacing="0"/>
        <w:jc w:val="both"/>
        <w:rPr>
          <w:sz w:val="20"/>
          <w:szCs w:val="20"/>
        </w:rPr>
      </w:pPr>
      <w:r>
        <w:rPr>
          <w:b/>
          <w:bCs/>
          <w:sz w:val="20"/>
          <w:szCs w:val="20"/>
        </w:rPr>
        <w:t>Financing Activitie</w:t>
      </w:r>
      <w:r>
        <w:rPr>
          <w:b/>
          <w:bCs/>
          <w:sz w:val="20"/>
          <w:szCs w:val="20"/>
        </w:rPr>
        <w:t>s</w:t>
      </w:r>
    </w:p>
    <w:p w:rsidR="00000000" w:rsidRDefault="006D723D">
      <w:pPr>
        <w:pStyle w:val="a3"/>
        <w:spacing w:before="120" w:beforeAutospacing="0" w:after="0" w:afterAutospacing="0"/>
        <w:jc w:val="both"/>
        <w:rPr>
          <w:sz w:val="20"/>
          <w:szCs w:val="20"/>
        </w:rPr>
      </w:pPr>
      <w:r>
        <w:rPr>
          <w:sz w:val="20"/>
          <w:szCs w:val="20"/>
        </w:rPr>
        <w:t>Cash flow used in financing activities was $375.2 million for the year ended December 31, 2022 and was primarily attributable to debt repayments, including the aforementioned $167.5 million related to our Previous Term Loan A, $124</w:t>
      </w:r>
      <w:r>
        <w:rPr>
          <w:sz w:val="20"/>
          <w:szCs w:val="20"/>
        </w:rPr>
        <w:t>.1 million related to our Term Loan B, and $80.6 million related to our 4.625% and 8.25% Senior Notes. In addition, our net cash flow used in financing activities was attributable to $15.1 million of scheduled principal repayments under our Term Loan A, Te</w:t>
      </w:r>
      <w:r>
        <w:rPr>
          <w:sz w:val="20"/>
          <w:szCs w:val="20"/>
        </w:rPr>
        <w:t>rm Loan B, and our non-recourse mortgage note. Our net cash flow used in financing activities also included $79.9 million for the share repurchase program our BOD authorized during the second quarter of 2022, as well as the purchase and retirement of commo</w:t>
      </w:r>
      <w:r>
        <w:rPr>
          <w:sz w:val="20"/>
          <w:szCs w:val="20"/>
        </w:rPr>
        <w:t>n stock that was issued in connection with equity-based compensation, and dividend payments on restricted stock units that became vested of $0.9 million. These payments were partially offset by the $100.0 million of proceeds from the aforementioned issuanc</w:t>
      </w:r>
      <w:r>
        <w:rPr>
          <w:sz w:val="20"/>
          <w:szCs w:val="20"/>
        </w:rPr>
        <w:t>e of the New Term Loan A</w:t>
      </w:r>
      <w:r>
        <w:rPr>
          <w:sz w:val="20"/>
          <w:szCs w:val="20"/>
        </w:rPr>
        <w:t>.</w:t>
      </w:r>
    </w:p>
    <w:p w:rsidR="00000000" w:rsidRDefault="006D723D">
      <w:pPr>
        <w:pStyle w:val="a3"/>
        <w:spacing w:before="240" w:beforeAutospacing="0" w:after="0" w:afterAutospacing="0"/>
        <w:jc w:val="center"/>
        <w:rPr>
          <w:sz w:val="20"/>
          <w:szCs w:val="20"/>
        </w:rPr>
      </w:pPr>
      <w:r>
        <w:rPr>
          <w:sz w:val="20"/>
          <w:szCs w:val="20"/>
        </w:rPr>
        <w:t>8</w:t>
      </w:r>
      <w:r>
        <w:rPr>
          <w:sz w:val="20"/>
          <w:szCs w:val="20"/>
        </w:rPr>
        <w:t>9</w:t>
      </w:r>
    </w:p>
    <w:p w:rsidR="00000000" w:rsidRDefault="006D723D">
      <w:pPr>
        <w:rPr>
          <w:rFonts w:eastAsia="Times New Roman"/>
        </w:rPr>
      </w:pPr>
      <w:r>
        <w:rPr>
          <w:rFonts w:eastAsia="Times New Roman"/>
        </w:rPr>
        <w:pict>
          <v:rect id="_x0000_i1113"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Cash flow used in financing activities was $327.7 million for the year ended December 31, 2021 and was primarily attributable to net repayments under our Revolving Credit Facility of $219.</w:t>
      </w:r>
      <w:r>
        <w:rPr>
          <w:sz w:val="20"/>
          <w:szCs w:val="20"/>
        </w:rPr>
        <w:t>0 million. In addition, cash flow used in financing activities included $35.3 million of scheduled principal repayments under our Term Loan A, Term Loan B, and non-recourse mortgage notes, as well as $516.4 million for the aforementioned repayments of seni</w:t>
      </w:r>
      <w:r>
        <w:rPr>
          <w:sz w:val="20"/>
          <w:szCs w:val="20"/>
        </w:rPr>
        <w:t xml:space="preserve">or notes and our Term Loan B, $161.9 million for the repayment of non-recourse mortgage notes in connection with the aforementioned sale of assets, and $65.0 million for debt defeasance, issuance, and other refinancing and related costs. Cash flow used in </w:t>
      </w:r>
      <w:r>
        <w:rPr>
          <w:sz w:val="20"/>
          <w:szCs w:val="20"/>
        </w:rPr>
        <w:t>financing activities also included $1.0 million of contingent consideration associated with the acquisition of a business acquired in 2019 and $1.6 million for the purchase and retirement of common stock that was issued in connection with equity-based comp</w:t>
      </w:r>
      <w:r>
        <w:rPr>
          <w:sz w:val="20"/>
          <w:szCs w:val="20"/>
        </w:rPr>
        <w:t>ensation. These payments were partially offset by the $445.5 million of gross proceeds from the aforementioned issuance of the Original 8.25% Senior Notes that were issued in the second quarter of 2021 at a 99.0% discount of face value and the $230.1 milli</w:t>
      </w:r>
      <w:r>
        <w:rPr>
          <w:sz w:val="20"/>
          <w:szCs w:val="20"/>
        </w:rPr>
        <w:t>on of gross proceeds from the aforementioned issuance of the Additional 8.25% Senior Notes that were issued in the third quarter of 2021 at a 102.25% premium of face value</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b/>
          <w:bCs/>
          <w:sz w:val="20"/>
          <w:szCs w:val="20"/>
        </w:rPr>
        <w:t>Supplemental Guarantor Informatio</w:t>
      </w:r>
      <w:r>
        <w:rPr>
          <w:b/>
          <w:bCs/>
          <w:sz w:val="20"/>
          <w:szCs w:val="20"/>
        </w:rPr>
        <w:t>n</w:t>
      </w:r>
    </w:p>
    <w:p w:rsidR="00000000" w:rsidRDefault="006D723D">
      <w:pPr>
        <w:pStyle w:val="a3"/>
        <w:spacing w:before="120" w:beforeAutospacing="0" w:after="0" w:afterAutospacing="0"/>
        <w:jc w:val="both"/>
        <w:rPr>
          <w:sz w:val="20"/>
          <w:szCs w:val="20"/>
        </w:rPr>
      </w:pPr>
      <w:r>
        <w:rPr>
          <w:sz w:val="20"/>
          <w:szCs w:val="20"/>
        </w:rPr>
        <w:t>All of the domestic subsidiaries of CoreCivic (</w:t>
      </w:r>
      <w:r>
        <w:rPr>
          <w:sz w:val="20"/>
          <w:szCs w:val="20"/>
        </w:rPr>
        <w:t xml:space="preserve">as the parent corporation) that guarantee the Credit Agreements have provided full and unconditional guarantees of our Senior Notes. All of CoreCivic's subsidiaries guaranteeing the Senior Notes are 100% owned direct or indirect subsidiaries of CoreCivic, </w:t>
      </w:r>
      <w:r>
        <w:rPr>
          <w:sz w:val="20"/>
          <w:szCs w:val="20"/>
        </w:rPr>
        <w:t>and the subsidiary guarantees are full and unconditional and are joint and several obligations of the guarantors</w:t>
      </w:r>
      <w:r>
        <w:rPr>
          <w:sz w:val="20"/>
          <w:szCs w:val="20"/>
        </w:rPr>
        <w:t>.</w:t>
      </w:r>
    </w:p>
    <w:p w:rsidR="00000000" w:rsidRDefault="006D723D">
      <w:pPr>
        <w:pStyle w:val="a3"/>
        <w:spacing w:before="240" w:beforeAutospacing="0" w:after="0" w:afterAutospacing="0"/>
        <w:jc w:val="both"/>
        <w:rPr>
          <w:sz w:val="20"/>
          <w:szCs w:val="20"/>
        </w:rPr>
      </w:pPr>
      <w:r>
        <w:rPr>
          <w:sz w:val="20"/>
          <w:szCs w:val="20"/>
        </w:rPr>
        <w:t>As of December 31, 2022, neither CoreCivic nor any of its subsidiary guarantors had any material or significant restrictions on CoreCivic's ab</w:t>
      </w:r>
      <w:r>
        <w:rPr>
          <w:sz w:val="20"/>
          <w:szCs w:val="20"/>
        </w:rPr>
        <w:t>ility to obtain funds from its subsidiaries by dividend or loan or to transfer assets from such subsidiaries</w:t>
      </w:r>
      <w:r>
        <w:rPr>
          <w:sz w:val="20"/>
          <w:szCs w:val="20"/>
        </w:rPr>
        <w:t>.</w:t>
      </w:r>
    </w:p>
    <w:p w:rsidR="00000000" w:rsidRDefault="006D723D">
      <w:pPr>
        <w:pStyle w:val="a3"/>
        <w:spacing w:before="240" w:beforeAutospacing="0" w:after="0" w:afterAutospacing="0"/>
        <w:jc w:val="both"/>
        <w:rPr>
          <w:sz w:val="20"/>
          <w:szCs w:val="20"/>
        </w:rPr>
      </w:pPr>
      <w:r>
        <w:rPr>
          <w:sz w:val="20"/>
          <w:szCs w:val="20"/>
        </w:rPr>
        <w:t>The indentures governing our Senior Notes contain certain customary covenants that, subject to certain exceptions and qualifications, restrict Cor</w:t>
      </w:r>
      <w:r>
        <w:rPr>
          <w:sz w:val="20"/>
          <w:szCs w:val="20"/>
        </w:rPr>
        <w:t>eCivic's ability to, among other things, create or permit to exist certain liens and consolidate, merge or transfer all or substantially all of CoreCivic's assets. In addition, if CoreCivic experiences specific kinds of changes in control, CoreCivic must o</w:t>
      </w:r>
      <w:r>
        <w:rPr>
          <w:sz w:val="20"/>
          <w:szCs w:val="20"/>
        </w:rPr>
        <w:t>ffer to repurchase all or a portion of the Senior Notes. The offer price for the Senior Notes in connection with a change in control would be 101% of the aggregate principal amount of the notes repurchased plus accrued and unpaid interest, if any, on the n</w:t>
      </w:r>
      <w:r>
        <w:rPr>
          <w:sz w:val="20"/>
          <w:szCs w:val="20"/>
        </w:rPr>
        <w:t>otes repurchased to the date of purchase. The indenture related to our 8.25% Senior Notes additionally limits our ability to incur indebtedness, make restricted payments and investments and prepay certain indebtedness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The following tables present summari</w:t>
      </w:r>
      <w:r>
        <w:rPr>
          <w:sz w:val="20"/>
          <w:szCs w:val="20"/>
        </w:rPr>
        <w:t>zed information for CoreCivic and the subsidiary guarantors, on a combined basis after elimination of (i) intercompany transactions and balances among CoreCivic and the subsidiary guarantors and (ii) equity in earnings from, and any investments in, any sub</w:t>
      </w:r>
      <w:r>
        <w:rPr>
          <w:sz w:val="20"/>
          <w:szCs w:val="20"/>
        </w:rPr>
        <w:t>sidiary that is a non-guarantor (in thousands)</w:t>
      </w:r>
      <w:r>
        <w:rPr>
          <w:sz w:val="20"/>
          <w:szCs w:val="20"/>
        </w:rPr>
        <w:t>.</w:t>
      </w:r>
      <w:r>
        <w:rPr>
          <w:sz w:val="20"/>
          <w:szCs w:val="20"/>
        </w:rPr>
        <w:t xml:space="preserve"> </w:t>
      </w:r>
    </w:p>
    <w:p w:rsidR="00000000" w:rsidRDefault="006D723D">
      <w:pPr>
        <w:pStyle w:val="a3"/>
        <w:spacing w:before="120" w:beforeAutospacing="0" w:after="0" w:afterAutospacing="0"/>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66"/>
        <w:gridCol w:w="831"/>
        <w:gridCol w:w="830"/>
        <w:gridCol w:w="160"/>
        <w:gridCol w:w="987"/>
        <w:gridCol w:w="110"/>
        <w:gridCol w:w="302"/>
        <w:gridCol w:w="160"/>
        <w:gridCol w:w="1004"/>
        <w:gridCol w:w="125"/>
      </w:tblGrid>
      <w:tr w:rsidR="00000000">
        <w:trPr>
          <w:tblCellSpacing w:w="15" w:type="dxa"/>
        </w:trPr>
        <w:tc>
          <w:tcPr>
            <w:tcW w:w="2059" w:type="pct"/>
            <w:vAlign w:val="center"/>
            <w:hideMark/>
          </w:tcPr>
          <w:p w:rsidR="00000000" w:rsidRDefault="006D723D">
            <w:pPr>
              <w:rPr>
                <w:sz w:val="20"/>
                <w:szCs w:val="20"/>
              </w:rPr>
            </w:pPr>
          </w:p>
        </w:tc>
        <w:tc>
          <w:tcPr>
            <w:tcW w:w="576" w:type="pct"/>
            <w:vAlign w:val="center"/>
            <w:hideMark/>
          </w:tcPr>
          <w:p w:rsidR="00000000" w:rsidRDefault="006D723D">
            <w:pPr>
              <w:rPr>
                <w:rFonts w:eastAsia="Times New Roman"/>
                <w:sz w:val="20"/>
                <w:szCs w:val="20"/>
              </w:rPr>
            </w:pPr>
          </w:p>
        </w:tc>
        <w:tc>
          <w:tcPr>
            <w:tcW w:w="575"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85"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0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97"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6D723D">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sz w:val="16"/>
                <w:szCs w:val="16"/>
              </w:rPr>
              <w:t>202</w:t>
            </w:r>
            <w:r>
              <w:rPr>
                <w:sz w:val="16"/>
                <w:szCs w:val="16"/>
              </w:rPr>
              <w:t>1</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Current asset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415,30</w:t>
            </w:r>
            <w:r>
              <w:rPr>
                <w:b/>
                <w:bCs/>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531,62</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Real estate and related asset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2,384,27</w:t>
            </w:r>
            <w:r>
              <w:rPr>
                <w:b/>
                <w:bCs/>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2,502,13</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Other asset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204,60</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224,27</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Total non-current asset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2,588,88</w:t>
            </w:r>
            <w:r>
              <w:rPr>
                <w:b/>
                <w:bCs/>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2,726,41</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Current liabilitie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345,24</w:t>
            </w:r>
            <w:r>
              <w:rPr>
                <w:b/>
                <w:bCs/>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237,79</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Long-term debt, ne</w:t>
            </w:r>
            <w:r>
              <w:rPr>
                <w:sz w:val="20"/>
                <w:szCs w:val="20"/>
              </w:rPr>
              <w:t>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942,14</w:t>
            </w:r>
            <w:r>
              <w:rPr>
                <w:b/>
                <w:bCs/>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1,344,60</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Other liabilitie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276,75</w:t>
            </w:r>
            <w:r>
              <w:rPr>
                <w:b/>
                <w:bCs/>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293,45</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Total long-term liabilitie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1,218,89</w:t>
            </w:r>
            <w:r>
              <w:rPr>
                <w:b/>
                <w:bCs/>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1,638,06</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bl>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center"/>
        <w:rPr>
          <w:sz w:val="20"/>
          <w:szCs w:val="20"/>
        </w:rPr>
      </w:pPr>
      <w:r>
        <w:rPr>
          <w:sz w:val="20"/>
          <w:szCs w:val="20"/>
        </w:rPr>
        <w:t>9</w:t>
      </w:r>
      <w:r>
        <w:rPr>
          <w:sz w:val="20"/>
          <w:szCs w:val="20"/>
        </w:rPr>
        <w:t>0</w:t>
      </w:r>
    </w:p>
    <w:p w:rsidR="00000000" w:rsidRDefault="006D723D">
      <w:pPr>
        <w:rPr>
          <w:rFonts w:eastAsia="Times New Roman"/>
        </w:rPr>
      </w:pPr>
      <w:r>
        <w:rPr>
          <w:rFonts w:eastAsia="Times New Roman"/>
        </w:rPr>
        <w:pict>
          <v:rect id="_x0000_i1114"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360" w:beforeAutospacing="0" w:after="0" w:afterAutospacing="0"/>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08"/>
        <w:gridCol w:w="758"/>
        <w:gridCol w:w="758"/>
        <w:gridCol w:w="160"/>
        <w:gridCol w:w="892"/>
        <w:gridCol w:w="110"/>
        <w:gridCol w:w="276"/>
        <w:gridCol w:w="160"/>
        <w:gridCol w:w="911"/>
        <w:gridCol w:w="142"/>
      </w:tblGrid>
      <w:tr w:rsidR="00000000">
        <w:trPr>
          <w:tblCellSpacing w:w="15" w:type="dxa"/>
        </w:trPr>
        <w:tc>
          <w:tcPr>
            <w:tcW w:w="2300" w:type="pct"/>
            <w:vAlign w:val="center"/>
            <w:hideMark/>
          </w:tcPr>
          <w:p w:rsidR="00000000" w:rsidRDefault="006D723D">
            <w:pPr>
              <w:rPr>
                <w:sz w:val="20"/>
                <w:szCs w:val="20"/>
              </w:rPr>
            </w:pPr>
          </w:p>
        </w:tc>
        <w:tc>
          <w:tcPr>
            <w:tcW w:w="527" w:type="pct"/>
            <w:vAlign w:val="center"/>
            <w:hideMark/>
          </w:tcPr>
          <w:p w:rsidR="00000000" w:rsidRDefault="006D723D">
            <w:pPr>
              <w:rPr>
                <w:rFonts w:eastAsia="Times New Roman"/>
                <w:sz w:val="20"/>
                <w:szCs w:val="20"/>
              </w:rPr>
            </w:pPr>
          </w:p>
        </w:tc>
        <w:tc>
          <w:tcPr>
            <w:tcW w:w="527"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21"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18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3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6D723D">
            <w:pPr>
              <w:pStyle w:val="a3"/>
              <w:spacing w:before="0" w:beforeAutospacing="0" w:after="0" w:afterAutospacing="0"/>
              <w:jc w:val="center"/>
              <w:rPr>
                <w:sz w:val="16"/>
                <w:szCs w:val="16"/>
              </w:rPr>
            </w:pPr>
            <w:r>
              <w:rPr>
                <w:b/>
                <w:bCs/>
                <w:sz w:val="16"/>
                <w:szCs w:val="16"/>
              </w:rPr>
              <w:t>For the Years Ended December 31</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sz w:val="16"/>
                <w:szCs w:val="16"/>
              </w:rPr>
              <w:t>202</w:t>
            </w:r>
            <w:r>
              <w:rPr>
                <w:sz w:val="16"/>
                <w:szCs w:val="16"/>
              </w:rPr>
              <w:t>1</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Revenu</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1,844,08</w:t>
            </w:r>
            <w:r>
              <w:rPr>
                <w:b/>
                <w:bCs/>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1,848,31</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Operating expense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1,413,78</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1,332,24</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Other expense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261,89</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336,08</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Total expense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1,675,68</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1,668,33</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Income before income taxe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162,45</w:t>
            </w:r>
            <w:r>
              <w:rPr>
                <w:b/>
                <w:bCs/>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60,54</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Net income (loss</w:t>
            </w: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119,47</w:t>
            </w:r>
            <w:r>
              <w:rPr>
                <w:b/>
                <w:bCs/>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(77,45</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bl>
    <w:p w:rsidR="00000000" w:rsidRDefault="006D723D">
      <w:pPr>
        <w:pStyle w:val="a3"/>
        <w:spacing w:before="360" w:beforeAutospacing="0" w:after="0" w:afterAutospacing="0"/>
        <w:jc w:val="both"/>
        <w:rPr>
          <w:sz w:val="20"/>
          <w:szCs w:val="20"/>
        </w:rPr>
      </w:pPr>
      <w:r>
        <w:rPr>
          <w:b/>
          <w:bCs/>
          <w:sz w:val="20"/>
          <w:szCs w:val="20"/>
        </w:rPr>
        <w:t>Funds from Operation</w:t>
      </w:r>
      <w:r>
        <w:rPr>
          <w:b/>
          <w:bCs/>
          <w:sz w:val="20"/>
          <w:szCs w:val="20"/>
        </w:rPr>
        <w:t>s</w:t>
      </w:r>
    </w:p>
    <w:p w:rsidR="00000000" w:rsidRDefault="006D723D">
      <w:pPr>
        <w:pStyle w:val="a3"/>
        <w:spacing w:before="120" w:beforeAutospacing="0" w:after="0" w:afterAutospacing="0"/>
        <w:jc w:val="both"/>
        <w:rPr>
          <w:sz w:val="20"/>
          <w:szCs w:val="20"/>
        </w:rPr>
      </w:pPr>
      <w:r>
        <w:rPr>
          <w:sz w:val="20"/>
          <w:szCs w:val="20"/>
        </w:rPr>
        <w:t>Funds From Operations, or FFO, is a widely accepted supplemental non-GAAP measure utilized to evaluate the operating performance of real estate companies. The National Association of Real Estate Investment Trusts, or NAREIT, defines FFO as net income compu</w:t>
      </w:r>
      <w:r>
        <w:rPr>
          <w:sz w:val="20"/>
          <w:szCs w:val="20"/>
        </w:rPr>
        <w:t>ted in accordance with GAAP, excluding gains or losses from sales of property and extraordinary items, plus depreciation and amortization of real estate and impairment of depreciable real estate and after adjustments for unconsolidated partnerships and joi</w:t>
      </w:r>
      <w:r>
        <w:rPr>
          <w:sz w:val="20"/>
          <w:szCs w:val="20"/>
        </w:rPr>
        <w:t xml:space="preserve">nt ventures calculated to reflect funds from operations on the same basis. We believe FFO is an important supplemental measure of our operating performance and believe it is frequently used by securities analysts, investors and other interested parties in </w:t>
      </w:r>
      <w:r>
        <w:rPr>
          <w:sz w:val="20"/>
          <w:szCs w:val="20"/>
        </w:rPr>
        <w:t>the evaluation of REITs and other real estate operating companies, many of which present FFO when reporting results</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We also present Normalized FFO as an additional supplemental measure as we believe it is more reflective of our core operating performance. We may make adjustments to FFO from time to time for certain other income and expenses that we consider non-recurrin</w:t>
      </w:r>
      <w:r>
        <w:rPr>
          <w:sz w:val="20"/>
          <w:szCs w:val="20"/>
        </w:rPr>
        <w:t>g, infrequent or unusual, even though such items may require cash settlement, because such items do not reflect a necessary or ordinary component of our ongoing operations. Normalized FFO excludes the effects of such items</w:t>
      </w:r>
      <w:r>
        <w:rPr>
          <w:sz w:val="20"/>
          <w:szCs w:val="20"/>
        </w:rPr>
        <w:t>.</w:t>
      </w:r>
    </w:p>
    <w:p w:rsidR="00000000" w:rsidRDefault="006D723D">
      <w:pPr>
        <w:pStyle w:val="a3"/>
        <w:spacing w:before="240" w:beforeAutospacing="0" w:after="0" w:afterAutospacing="0"/>
        <w:jc w:val="both"/>
        <w:rPr>
          <w:sz w:val="20"/>
          <w:szCs w:val="20"/>
        </w:rPr>
      </w:pPr>
      <w:r>
        <w:rPr>
          <w:sz w:val="20"/>
          <w:szCs w:val="20"/>
        </w:rPr>
        <w:t>FFO and Normalized FFO are suppl</w:t>
      </w:r>
      <w:r>
        <w:rPr>
          <w:sz w:val="20"/>
          <w:szCs w:val="20"/>
        </w:rPr>
        <w:t>emental non-GAAP financial measures of real estate companies' operating performance, which do not represent cash generated from operating activities in accordance with GAAP and therefore should not be considered an alternative for net income or as a measur</w:t>
      </w:r>
      <w:r>
        <w:rPr>
          <w:sz w:val="20"/>
          <w:szCs w:val="20"/>
        </w:rPr>
        <w:t>e of liquidity. Our method of calculating FFO and Normalized FFO may be different from methods used by other REITs and real estate operating companies and, accordingly, may not be comparable to such REITs and other real estate operating companies</w:t>
      </w:r>
      <w:r>
        <w:rPr>
          <w:sz w:val="20"/>
          <w:szCs w:val="20"/>
        </w:rPr>
        <w:t>.</w:t>
      </w:r>
    </w:p>
    <w:p w:rsidR="00000000" w:rsidRDefault="006D723D">
      <w:pPr>
        <w:pStyle w:val="a3"/>
        <w:spacing w:before="240" w:beforeAutospacing="0" w:after="0" w:afterAutospacing="0"/>
        <w:jc w:val="center"/>
        <w:rPr>
          <w:sz w:val="20"/>
          <w:szCs w:val="20"/>
        </w:rPr>
      </w:pPr>
      <w:r>
        <w:rPr>
          <w:sz w:val="20"/>
          <w:szCs w:val="20"/>
        </w:rPr>
        <w:t>9</w:t>
      </w:r>
      <w:r>
        <w:rPr>
          <w:sz w:val="20"/>
          <w:szCs w:val="20"/>
        </w:rPr>
        <w:t>1</w:t>
      </w:r>
    </w:p>
    <w:p w:rsidR="00000000" w:rsidRDefault="006D723D">
      <w:pPr>
        <w:rPr>
          <w:rFonts w:eastAsia="Times New Roman"/>
        </w:rPr>
      </w:pPr>
      <w:r>
        <w:rPr>
          <w:rFonts w:eastAsia="Times New Roman"/>
        </w:rPr>
        <w:pict>
          <v:rect id="_x0000_i1115"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both"/>
        <w:rPr>
          <w:sz w:val="20"/>
          <w:szCs w:val="20"/>
        </w:rPr>
      </w:pPr>
      <w:r>
        <w:rPr>
          <w:sz w:val="20"/>
          <w:szCs w:val="20"/>
        </w:rPr>
        <w:t>Our reconciliation of net income to FFO and Normalized FFO for the years ended December 31, 2022, 2021, and 2020 is as follows (in thousands)</w:t>
      </w:r>
      <w:r>
        <w:rPr>
          <w:sz w:val="20"/>
          <w:szCs w:val="20"/>
        </w:rPr>
        <w:t>:</w:t>
      </w:r>
    </w:p>
    <w:p w:rsidR="00000000" w:rsidRDefault="006D723D">
      <w:pPr>
        <w:pStyle w:val="a3"/>
        <w:spacing w:before="0" w:beforeAutospacing="0" w:after="0" w:afterAutospacing="0"/>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007"/>
        <w:gridCol w:w="110"/>
        <w:gridCol w:w="160"/>
        <w:gridCol w:w="760"/>
        <w:gridCol w:w="127"/>
        <w:gridCol w:w="110"/>
        <w:gridCol w:w="160"/>
        <w:gridCol w:w="761"/>
        <w:gridCol w:w="127"/>
        <w:gridCol w:w="110"/>
        <w:gridCol w:w="160"/>
        <w:gridCol w:w="758"/>
        <w:gridCol w:w="125"/>
      </w:tblGrid>
      <w:tr w:rsidR="00000000">
        <w:trPr>
          <w:tblCellSpacing w:w="15" w:type="dxa"/>
        </w:trPr>
        <w:tc>
          <w:tcPr>
            <w:tcW w:w="2830" w:type="pct"/>
            <w:vAlign w:val="center"/>
            <w:hideMark/>
          </w:tcPr>
          <w:p w:rsidR="00000000" w:rsidRDefault="006D723D">
            <w:pPr>
              <w:rPr>
                <w:sz w:val="20"/>
                <w:szCs w:val="20"/>
              </w:rPr>
            </w:pPr>
          </w:p>
        </w:tc>
        <w:tc>
          <w:tcPr>
            <w:tcW w:w="6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5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5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5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6D723D">
            <w:pPr>
              <w:pStyle w:val="a3"/>
              <w:spacing w:before="0" w:beforeAutospacing="0" w:after="0" w:afterAutospacing="0"/>
              <w:jc w:val="center"/>
              <w:rPr>
                <w:sz w:val="16"/>
                <w:szCs w:val="16"/>
              </w:rPr>
            </w:pPr>
            <w:r>
              <w:rPr>
                <w:sz w:val="16"/>
                <w:szCs w:val="16"/>
              </w:rPr>
              <w:t>For the Years Ended December 31</w:t>
            </w:r>
            <w:r>
              <w:rPr>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sz w:val="16"/>
                <w:szCs w:val="16"/>
              </w:rPr>
              <w:t>202</w:t>
            </w:r>
            <w:r>
              <w:rPr>
                <w:sz w:val="16"/>
                <w:szCs w:val="16"/>
              </w:rPr>
              <w:t>1</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sz w:val="16"/>
                <w:szCs w:val="16"/>
              </w:rPr>
              <w:t>202</w:t>
            </w:r>
            <w:r>
              <w:rPr>
                <w:sz w:val="16"/>
                <w:szCs w:val="16"/>
              </w:rPr>
              <w:t>0</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b/>
                <w:bCs/>
                <w:sz w:val="20"/>
                <w:szCs w:val="20"/>
              </w:rPr>
              <w:t>FUNDS FROM OPERATIONS</w:t>
            </w: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center"/>
              <w:rPr>
                <w:sz w:val="20"/>
                <w:szCs w:val="20"/>
              </w:rPr>
            </w:pPr>
            <w:r>
              <w:rPr>
                <w:rFonts w:ascii="Calibri" w:hAnsi="Calibri" w:cs="Calibri"/>
                <w:sz w:val="20"/>
                <w:szCs w:val="20"/>
              </w:rPr>
              <w:t> </w:t>
            </w:r>
          </w:p>
        </w:tc>
        <w:tc>
          <w:tcPr>
            <w:tcW w:w="0" w:type="auto"/>
            <w:vAlign w:val="bottom"/>
            <w:hideMark/>
          </w:tcPr>
          <w:p w:rsidR="00000000" w:rsidRDefault="006D723D">
            <w:pPr>
              <w:pStyle w:val="a3"/>
              <w:spacing w:before="0" w:beforeAutospacing="0" w:after="0" w:afterAutospacing="0"/>
              <w:jc w:val="center"/>
              <w:rPr>
                <w:sz w:val="20"/>
                <w:szCs w:val="20"/>
              </w:rPr>
            </w:pPr>
            <w:r>
              <w:rPr>
                <w:rFonts w:ascii="Calibri" w:hAnsi="Calibri" w:cs="Calibri"/>
                <w:sz w:val="20"/>
                <w:szCs w:val="20"/>
              </w:rPr>
              <w:t> </w:t>
            </w:r>
          </w:p>
        </w:tc>
        <w:tc>
          <w:tcPr>
            <w:tcW w:w="0" w:type="auto"/>
            <w:vAlign w:val="bottom"/>
            <w:hideMark/>
          </w:tcPr>
          <w:p w:rsidR="00000000" w:rsidRDefault="006D723D">
            <w:pPr>
              <w:pStyle w:val="a3"/>
              <w:spacing w:before="0" w:beforeAutospacing="0" w:after="0" w:afterAutospacing="0"/>
              <w:jc w:val="center"/>
              <w:rPr>
                <w:sz w:val="20"/>
                <w:szCs w:val="20"/>
              </w:rPr>
            </w:pPr>
            <w:r>
              <w:rPr>
                <w:rFonts w:ascii="Calibri" w:hAnsi="Calibri" w:cs="Calibri"/>
                <w:sz w:val="20"/>
                <w:szCs w:val="20"/>
              </w:rPr>
              <w:t> </w:t>
            </w:r>
          </w:p>
        </w:tc>
        <w:tc>
          <w:tcPr>
            <w:tcW w:w="0" w:type="auto"/>
            <w:gridSpan w:val="2"/>
            <w:vAlign w:val="bottom"/>
            <w:hideMark/>
          </w:tcPr>
          <w:p w:rsidR="00000000" w:rsidRDefault="006D723D">
            <w:pPr>
              <w:pStyle w:val="a3"/>
              <w:spacing w:before="0" w:beforeAutospacing="0" w:after="0" w:afterAutospacing="0"/>
              <w:jc w:val="center"/>
              <w:rPr>
                <w:sz w:val="20"/>
                <w:szCs w:val="20"/>
              </w:rPr>
            </w:pPr>
            <w:r>
              <w:rPr>
                <w:rFonts w:ascii="Calibri" w:hAnsi="Calibri" w:cs="Calibri"/>
                <w:sz w:val="20"/>
                <w:szCs w:val="20"/>
              </w:rPr>
              <w:t> </w:t>
            </w:r>
          </w:p>
        </w:tc>
        <w:tc>
          <w:tcPr>
            <w:tcW w:w="0" w:type="auto"/>
            <w:vAlign w:val="bottom"/>
            <w:hideMark/>
          </w:tcPr>
          <w:p w:rsidR="00000000" w:rsidRDefault="006D723D">
            <w:pPr>
              <w:pStyle w:val="a3"/>
              <w:spacing w:before="0" w:beforeAutospacing="0" w:after="0" w:afterAutospacing="0"/>
              <w:jc w:val="center"/>
              <w:rPr>
                <w:sz w:val="20"/>
                <w:szCs w:val="20"/>
              </w:rPr>
            </w:pPr>
            <w:r>
              <w:rPr>
                <w:rFonts w:ascii="Calibri" w:hAnsi="Calibri" w:cs="Calibri"/>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rFonts w:ascii="Calibri" w:hAnsi="Calibri" w:cs="Calibri"/>
                <w:sz w:val="20"/>
                <w:szCs w:val="20"/>
              </w:rPr>
              <w:t> </w:t>
            </w:r>
          </w:p>
        </w:tc>
        <w:tc>
          <w:tcPr>
            <w:tcW w:w="0" w:type="auto"/>
            <w:gridSpan w:val="2"/>
            <w:vAlign w:val="bottom"/>
            <w:hideMark/>
          </w:tcPr>
          <w:p w:rsidR="00000000" w:rsidRDefault="006D723D">
            <w:pPr>
              <w:pStyle w:val="a3"/>
              <w:spacing w:before="0" w:beforeAutospacing="0" w:after="0" w:afterAutospacing="0"/>
              <w:jc w:val="center"/>
              <w:rPr>
                <w:sz w:val="20"/>
                <w:szCs w:val="20"/>
              </w:rPr>
            </w:pPr>
            <w:r>
              <w:rPr>
                <w:rFonts w:ascii="Calibri" w:hAnsi="Calibri" w:cs="Calibri"/>
                <w:sz w:val="20"/>
                <w:szCs w:val="20"/>
              </w:rPr>
              <w:t> </w:t>
            </w:r>
          </w:p>
        </w:tc>
        <w:tc>
          <w:tcPr>
            <w:tcW w:w="0" w:type="auto"/>
            <w:vAlign w:val="bottom"/>
            <w:hideMark/>
          </w:tcPr>
          <w:p w:rsidR="00000000" w:rsidRDefault="006D723D">
            <w:pPr>
              <w:pStyle w:val="a3"/>
              <w:spacing w:before="0" w:beforeAutospacing="0" w:after="0" w:afterAutospacing="0"/>
              <w:jc w:val="center"/>
              <w:rPr>
                <w:sz w:val="20"/>
                <w:szCs w:val="20"/>
              </w:rPr>
            </w:pPr>
            <w:r>
              <w:rPr>
                <w:rFonts w:ascii="Calibri" w:hAnsi="Calibri" w:cs="Calibri"/>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Net income (loss</w:t>
            </w: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122,32</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(51,89</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55,33</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Depreciation and amortization of real estate asset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96,91</w:t>
            </w:r>
            <w:r>
              <w:rPr>
                <w:b/>
                <w:bCs/>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98,73</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112,04</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Impairment of real estate asset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4,39</w:t>
            </w:r>
            <w:r>
              <w:rPr>
                <w:b/>
                <w:bCs/>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3,33</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14,38</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Loss (gain) on sale of real estate assets, ne</w:t>
            </w:r>
            <w:r>
              <w:rPr>
                <w:sz w:val="20"/>
                <w:szCs w:val="20"/>
              </w:rPr>
              <w:t>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(87,72</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(38,76</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13,02</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Income tax expense for special item</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21,99</w:t>
            </w:r>
            <w:r>
              <w:rPr>
                <w:b/>
                <w:bCs/>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8,78</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53</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Funds From Operation</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157,89</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20,19</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195,31</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 xml:space="preserve">Expenses associated with debt repayments </w:t>
            </w:r>
            <w:r>
              <w:rPr>
                <w:sz w:val="20"/>
                <w:szCs w:val="20"/>
              </w:rPr>
              <w:br/>
              <w:t>   and refinancing transaction</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8,07</w:t>
            </w:r>
            <w:r>
              <w:rPr>
                <w:b/>
                <w:bCs/>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56,27</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7,14</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Expenses associated with mergers and acquisition</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33</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Contingent consideration for acquisition of businesse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62</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Expenses associated with COVID-1</w:t>
            </w:r>
            <w:r>
              <w:rPr>
                <w:sz w:val="20"/>
                <w:szCs w:val="20"/>
              </w:rPr>
              <w:t>9</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2,43</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13,77</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 xml:space="preserve">Expenses associated with changes in corporate </w:t>
            </w:r>
            <w:r>
              <w:rPr>
                <w:sz w:val="20"/>
                <w:szCs w:val="20"/>
              </w:rPr>
              <w:br/>
              <w:t>   tax structur</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5,24</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Income taxes associated with change in corporate</w:t>
            </w:r>
            <w:r>
              <w:rPr>
                <w:sz w:val="20"/>
                <w:szCs w:val="20"/>
              </w:rPr>
              <w:br/>
              <w:t>   tax structure and other special tax item</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114,24</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3,08</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Shareholder litigation expens</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1,90</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54,29</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Goodwill and other impairment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8,04</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46,24</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Income tax benefit for special item</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(2,65</w:t>
            </w:r>
            <w:r>
              <w:rPr>
                <w:b/>
                <w:bCs/>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(30,01</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Normalized Funds From Operation</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165,21</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225,48</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271,76</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bl>
    <w:p w:rsidR="00000000" w:rsidRDefault="006D723D">
      <w:pPr>
        <w:pStyle w:val="a3"/>
        <w:spacing w:before="160" w:beforeAutospacing="0" w:after="0" w:afterAutospacing="0"/>
        <w:jc w:val="both"/>
        <w:rPr>
          <w:sz w:val="20"/>
          <w:szCs w:val="20"/>
        </w:rPr>
      </w:pPr>
      <w:r>
        <w:rPr>
          <w:b/>
          <w:bCs/>
          <w:sz w:val="20"/>
          <w:szCs w:val="20"/>
        </w:rPr>
        <w:t>Material Cash Requirement</w:t>
      </w:r>
      <w:r>
        <w:rPr>
          <w:b/>
          <w:bCs/>
          <w:sz w:val="20"/>
          <w:szCs w:val="20"/>
        </w:rPr>
        <w:t>s</w:t>
      </w:r>
    </w:p>
    <w:p w:rsidR="00000000" w:rsidRDefault="006D723D">
      <w:pPr>
        <w:pStyle w:val="a3"/>
        <w:spacing w:before="120" w:beforeAutospacing="0" w:after="0" w:afterAutospacing="0"/>
        <w:jc w:val="both"/>
        <w:rPr>
          <w:sz w:val="20"/>
          <w:szCs w:val="20"/>
        </w:rPr>
      </w:pPr>
      <w:r>
        <w:rPr>
          <w:sz w:val="20"/>
          <w:szCs w:val="20"/>
        </w:rPr>
        <w:t>The following table summarizes our material cash requirements related to borrowings, contracts and leases by the indicated period as of December 31, 2022 (in thousands)</w:t>
      </w:r>
      <w:r>
        <w:rPr>
          <w:sz w:val="20"/>
          <w:szCs w:val="20"/>
        </w:rPr>
        <w:t>:</w:t>
      </w:r>
    </w:p>
    <w:p w:rsidR="00000000" w:rsidRDefault="006D723D">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86"/>
        <w:gridCol w:w="110"/>
        <w:gridCol w:w="160"/>
        <w:gridCol w:w="710"/>
        <w:gridCol w:w="110"/>
        <w:gridCol w:w="110"/>
        <w:gridCol w:w="160"/>
        <w:gridCol w:w="710"/>
        <w:gridCol w:w="110"/>
        <w:gridCol w:w="110"/>
        <w:gridCol w:w="160"/>
        <w:gridCol w:w="710"/>
        <w:gridCol w:w="110"/>
        <w:gridCol w:w="110"/>
        <w:gridCol w:w="160"/>
        <w:gridCol w:w="710"/>
        <w:gridCol w:w="110"/>
        <w:gridCol w:w="110"/>
        <w:gridCol w:w="160"/>
        <w:gridCol w:w="710"/>
        <w:gridCol w:w="110"/>
        <w:gridCol w:w="110"/>
        <w:gridCol w:w="160"/>
        <w:gridCol w:w="710"/>
        <w:gridCol w:w="110"/>
        <w:gridCol w:w="110"/>
        <w:gridCol w:w="160"/>
        <w:gridCol w:w="860"/>
        <w:gridCol w:w="125"/>
      </w:tblGrid>
      <w:tr w:rsidR="00000000">
        <w:trPr>
          <w:tblCellSpacing w:w="15" w:type="dxa"/>
        </w:trPr>
        <w:tc>
          <w:tcPr>
            <w:tcW w:w="1719" w:type="pct"/>
            <w:vAlign w:val="center"/>
            <w:hideMark/>
          </w:tcPr>
          <w:p w:rsidR="00000000" w:rsidRDefault="006D723D">
            <w:pPr>
              <w:rPr>
                <w:sz w:val="20"/>
                <w:szCs w:val="20"/>
              </w:rPr>
            </w:pPr>
          </w:p>
        </w:tc>
        <w:tc>
          <w:tcPr>
            <w:tcW w:w="2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2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2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2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2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2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2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9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6"/>
            <w:vAlign w:val="bottom"/>
            <w:hideMark/>
          </w:tcPr>
          <w:p w:rsidR="00000000" w:rsidRDefault="006D723D">
            <w:pPr>
              <w:pStyle w:val="a3"/>
              <w:spacing w:before="0" w:beforeAutospacing="0" w:after="0" w:afterAutospacing="0"/>
              <w:jc w:val="center"/>
              <w:rPr>
                <w:sz w:val="16"/>
                <w:szCs w:val="16"/>
              </w:rPr>
            </w:pPr>
            <w:r>
              <w:rPr>
                <w:b/>
                <w:bCs/>
                <w:sz w:val="16"/>
                <w:szCs w:val="16"/>
              </w:rPr>
              <w:t>Payments Due By Year Ending December 31</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4</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5</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6</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7</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Thereafte</w:t>
            </w:r>
            <w:r>
              <w:rPr>
                <w:b/>
                <w:bCs/>
                <w:sz w:val="16"/>
                <w:szCs w:val="16"/>
              </w:rPr>
              <w:t>r</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Long-term deb</w:t>
            </w:r>
            <w:r>
              <w:rPr>
                <w:sz w:val="20"/>
                <w:szCs w:val="20"/>
              </w:rPr>
              <w:t>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165,52</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14,72</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17,69</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688,56</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256,85</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121,15</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1,264,52</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Interest on senior and mortgage note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70,90</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68,89</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68,55</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43,05</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17,43</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37,41</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306,25</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Contractual facility developments and</w:t>
            </w:r>
            <w:r>
              <w:rPr>
                <w:sz w:val="20"/>
                <w:szCs w:val="20"/>
              </w:rPr>
              <w:br/>
              <w:t>   other commitment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1,69</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1,69</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South Texas Family Residential Cente</w:t>
            </w:r>
            <w:r>
              <w:rPr>
                <w:sz w:val="20"/>
                <w:szCs w:val="20"/>
              </w:rPr>
              <w:t>r</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51,42</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51,56</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51,42</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38,46</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192,86</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Lease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4,99</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4,93</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4,79</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4,36</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3,65</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14,87</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37,63</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294,53</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140,12</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142,47</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774,44</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277,94</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173,44</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1,802,97</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bl>
    <w:p w:rsidR="00000000" w:rsidRDefault="006D723D">
      <w:pPr>
        <w:pStyle w:val="a3"/>
        <w:spacing w:before="40" w:beforeAutospacing="0" w:after="0" w:afterAutospacing="0"/>
        <w:jc w:val="both"/>
        <w:rPr>
          <w:sz w:val="20"/>
          <w:szCs w:val="20"/>
        </w:rPr>
      </w:pPr>
      <w:r>
        <w:rPr>
          <w:sz w:val="20"/>
          <w:szCs w:val="20"/>
        </w:rPr>
        <w:t> </w:t>
      </w:r>
    </w:p>
    <w:p w:rsidR="00000000" w:rsidRDefault="006D723D">
      <w:pPr>
        <w:pStyle w:val="a3"/>
        <w:spacing w:before="0" w:beforeAutospacing="0" w:after="0" w:afterAutospacing="0"/>
        <w:jc w:val="both"/>
        <w:rPr>
          <w:sz w:val="20"/>
          <w:szCs w:val="20"/>
        </w:rPr>
      </w:pPr>
      <w:r>
        <w:rPr>
          <w:sz w:val="20"/>
          <w:szCs w:val="20"/>
        </w:rPr>
        <w:t>The cash obligations in the table above do not include future cash obligations for variable interest expense associated with our New Term Loan A or the balance outstanding on our New Revolving Credit Facility, if any, as projections would be based on futur</w:t>
      </w:r>
      <w:r>
        <w:rPr>
          <w:sz w:val="20"/>
          <w:szCs w:val="20"/>
        </w:rPr>
        <w:t>e outstanding balances as well as future variable interest rates, and we are unable to make reliable estimates of either. Certain of our other ongoing construction projects are not currently under contract and thus are not included as a contractual obligat</w:t>
      </w:r>
      <w:r>
        <w:rPr>
          <w:sz w:val="20"/>
          <w:szCs w:val="20"/>
        </w:rPr>
        <w:t xml:space="preserve">ion above as we may generally suspend or terminate such projects without substantial penalty. With respect to the South Texas Family Residential Center, the cash obligations included in the table above reflect the full contractual obligations of the lease </w:t>
      </w:r>
      <w:r>
        <w:rPr>
          <w:sz w:val="20"/>
          <w:szCs w:val="20"/>
        </w:rPr>
        <w:t>of the site, excluding contingent payments, even though the lease agreement provides us with the ability to terminate if ICE terminates the amended IGSA associated with the facility</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We had $16.8 million of letters of credit outstanding at December 31, 20</w:t>
      </w:r>
      <w:r>
        <w:rPr>
          <w:sz w:val="20"/>
          <w:szCs w:val="20"/>
        </w:rPr>
        <w:t>22 primarily to support our requirement to repay fees and claims under our self-insured workers' compensation plan in the event we do not repay the fees and claims due in accordance with the terms of the plan, and for a debt service reserve requirement und</w:t>
      </w:r>
      <w:r>
        <w:rPr>
          <w:sz w:val="20"/>
          <w:szCs w:val="20"/>
        </w:rPr>
        <w:t>er terms of the Kansas Notes. The letters of credit are renewable annually. We did not have any draws under these outstanding letters of credit during 2022, 2021, or 2020</w:t>
      </w:r>
      <w:r>
        <w:rPr>
          <w:sz w:val="20"/>
          <w:szCs w:val="20"/>
        </w:rPr>
        <w:t>.</w:t>
      </w:r>
      <w:r>
        <w:rPr>
          <w:sz w:val="20"/>
          <w:szCs w:val="20"/>
        </w:rPr>
        <w:t xml:space="preserve"> </w:t>
      </w:r>
    </w:p>
    <w:p w:rsidR="00000000" w:rsidRDefault="006D723D">
      <w:pPr>
        <w:pStyle w:val="a3"/>
        <w:spacing w:before="240" w:beforeAutospacing="0" w:after="0" w:afterAutospacing="0"/>
        <w:jc w:val="center"/>
        <w:rPr>
          <w:sz w:val="20"/>
          <w:szCs w:val="20"/>
        </w:rPr>
      </w:pPr>
      <w:r>
        <w:rPr>
          <w:sz w:val="20"/>
          <w:szCs w:val="20"/>
        </w:rPr>
        <w:t>9</w:t>
      </w:r>
      <w:r>
        <w:rPr>
          <w:sz w:val="20"/>
          <w:szCs w:val="20"/>
        </w:rPr>
        <w:t>2</w:t>
      </w:r>
    </w:p>
    <w:p w:rsidR="00000000" w:rsidRDefault="006D723D">
      <w:pPr>
        <w:rPr>
          <w:rFonts w:eastAsia="Times New Roman"/>
        </w:rPr>
      </w:pPr>
      <w:r>
        <w:rPr>
          <w:rFonts w:eastAsia="Times New Roman"/>
        </w:rPr>
        <w:pict>
          <v:rect id="_x0000_i1116"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360" w:beforeAutospacing="0" w:after="0" w:afterAutospacing="0"/>
        <w:jc w:val="both"/>
        <w:rPr>
          <w:sz w:val="20"/>
          <w:szCs w:val="20"/>
        </w:rPr>
      </w:pPr>
      <w:r>
        <w:rPr>
          <w:b/>
          <w:bCs/>
          <w:sz w:val="20"/>
          <w:szCs w:val="20"/>
        </w:rPr>
        <w:t>INFL</w:t>
      </w:r>
      <w:r>
        <w:rPr>
          <w:b/>
          <w:bCs/>
          <w:sz w:val="20"/>
          <w:szCs w:val="20"/>
        </w:rPr>
        <w:t>A</w:t>
      </w:r>
      <w:r>
        <w:rPr>
          <w:b/>
          <w:bCs/>
          <w:sz w:val="20"/>
          <w:szCs w:val="20"/>
        </w:rPr>
        <w:t>TIO</w:t>
      </w:r>
      <w:r>
        <w:rPr>
          <w:b/>
          <w:bCs/>
          <w:sz w:val="20"/>
          <w:szCs w:val="20"/>
        </w:rPr>
        <w:t>N</w:t>
      </w:r>
    </w:p>
    <w:p w:rsidR="00000000" w:rsidRDefault="006D723D">
      <w:pPr>
        <w:pStyle w:val="a3"/>
        <w:spacing w:before="120" w:beforeAutospacing="0" w:after="0" w:afterAutospacing="0"/>
        <w:jc w:val="both"/>
        <w:rPr>
          <w:sz w:val="20"/>
          <w:szCs w:val="20"/>
        </w:rPr>
      </w:pPr>
      <w:r>
        <w:rPr>
          <w:sz w:val="20"/>
          <w:szCs w:val="20"/>
        </w:rPr>
        <w:t>Many of our contracts include pr</w:t>
      </w:r>
      <w:r>
        <w:rPr>
          <w:sz w:val="20"/>
          <w:szCs w:val="20"/>
        </w:rPr>
        <w:t>ovisions for inflationary indexing, which may mitigate an adverse impact of inflation on net income. However, a substantial increase in personnel costs, workers' compensation, utilities, food, and medical expenses could have an adverse impact on our result</w:t>
      </w:r>
      <w:r>
        <w:rPr>
          <w:sz w:val="20"/>
          <w:szCs w:val="20"/>
        </w:rPr>
        <w:t>s of operations in the future to the extent that these expenses increase at a faster pace than the per diem or fixed rates we receive for our management services. As previously described herein, we have experienced increases in personnel costs and expect t</w:t>
      </w:r>
      <w:r>
        <w:rPr>
          <w:sz w:val="20"/>
          <w:szCs w:val="20"/>
        </w:rPr>
        <w:t>he labor market to remain challenging, which could have a material adverse effect on our operations. We outsource our food service operations to a third party. The contract with our outsourced food service vendor contains certain protections against increa</w:t>
      </w:r>
      <w:r>
        <w:rPr>
          <w:sz w:val="20"/>
          <w:szCs w:val="20"/>
        </w:rPr>
        <w:t>ses in food costs</w:t>
      </w:r>
      <w:r>
        <w:rPr>
          <w:sz w:val="20"/>
          <w:szCs w:val="20"/>
        </w:rPr>
        <w:t>.</w:t>
      </w:r>
      <w:r>
        <w:rPr>
          <w:sz w:val="20"/>
          <w:szCs w:val="20"/>
        </w:rPr>
        <w:t xml:space="preserve"> </w:t>
      </w:r>
    </w:p>
    <w:p w:rsidR="00000000" w:rsidRDefault="006D723D">
      <w:pPr>
        <w:pStyle w:val="a3"/>
        <w:spacing w:before="360" w:beforeAutospacing="0" w:after="0" w:afterAutospacing="0"/>
        <w:jc w:val="both"/>
        <w:rPr>
          <w:sz w:val="20"/>
          <w:szCs w:val="20"/>
        </w:rPr>
      </w:pPr>
      <w:r>
        <w:rPr>
          <w:b/>
          <w:bCs/>
          <w:sz w:val="20"/>
          <w:szCs w:val="20"/>
        </w:rPr>
        <w:t xml:space="preserve">SEASONALITY AND </w:t>
      </w:r>
      <w:r>
        <w:rPr>
          <w:b/>
          <w:bCs/>
          <w:sz w:val="20"/>
          <w:szCs w:val="20"/>
        </w:rPr>
        <w:t>Q</w:t>
      </w:r>
      <w:r>
        <w:rPr>
          <w:b/>
          <w:bCs/>
          <w:sz w:val="20"/>
          <w:szCs w:val="20"/>
        </w:rPr>
        <w:t>UARTERLY RESULT</w:t>
      </w:r>
      <w:r>
        <w:rPr>
          <w:b/>
          <w:bCs/>
          <w:sz w:val="20"/>
          <w:szCs w:val="20"/>
        </w:rPr>
        <w:t>S</w:t>
      </w:r>
      <w:r>
        <w:rPr>
          <w:b/>
          <w:bCs/>
          <w:sz w:val="20"/>
          <w:szCs w:val="20"/>
        </w:rPr>
        <w:t xml:space="preserve"> </w:t>
      </w:r>
    </w:p>
    <w:p w:rsidR="00000000" w:rsidRDefault="006D723D">
      <w:pPr>
        <w:pStyle w:val="a3"/>
        <w:spacing w:before="120" w:beforeAutospacing="0" w:after="0" w:afterAutospacing="0"/>
        <w:jc w:val="both"/>
        <w:rPr>
          <w:sz w:val="20"/>
          <w:szCs w:val="20"/>
        </w:rPr>
      </w:pPr>
      <w:r>
        <w:rPr>
          <w:sz w:val="20"/>
          <w:szCs w:val="20"/>
        </w:rPr>
        <w:t xml:space="preserve">Certain aspects of our business are subject to seasonal fluctuations. </w:t>
      </w:r>
      <w:r>
        <w:rPr>
          <w:sz w:val="20"/>
          <w:szCs w:val="20"/>
        </w:rPr>
        <w:t xml:space="preserve">Because we are generally compensated for operating and managing correctional, detention, and reentry facilities at a per diem rate, our financial results are impacted by the number of calendar days in a fiscal quarter. Our fiscal year follows the calendar </w:t>
      </w:r>
      <w:r>
        <w:rPr>
          <w:sz w:val="20"/>
          <w:szCs w:val="20"/>
        </w:rPr>
        <w:t>year and therefore, our daily profits for the third and fourth quarters include two more days than the first quarter (except in leap years) and one more day than the second quarter. Further, salaries and benefits represent the most significant component of</w:t>
      </w:r>
      <w:r>
        <w:rPr>
          <w:sz w:val="20"/>
          <w:szCs w:val="20"/>
        </w:rPr>
        <w:t xml:space="preserve"> operating expenses. Significant portions of our unemployment taxes are recognized during the first quarter, when base wage rates reset for unemployment tax purposes. Quarterly results are also affected by government funding initiatives, acquisitions, the </w:t>
      </w:r>
      <w:r>
        <w:rPr>
          <w:sz w:val="20"/>
          <w:szCs w:val="20"/>
        </w:rPr>
        <w:t>timing of the opening of new facilities, or the commencement of new management contracts and related start-up expenses which may mitigate or exacerbate the impact of other seasonal influences. Because of seasonality factors, and other factors described her</w:t>
      </w:r>
      <w:r>
        <w:rPr>
          <w:sz w:val="20"/>
          <w:szCs w:val="20"/>
        </w:rPr>
        <w:t>ein, results for any quarter are not necessarily indicative of the results that may be achieved for the full fiscal year</w:t>
      </w:r>
      <w:r>
        <w:rPr>
          <w:sz w:val="20"/>
          <w:szCs w:val="20"/>
        </w:rPr>
        <w:t>.</w:t>
      </w:r>
      <w:r>
        <w:rPr>
          <w:sz w:val="20"/>
          <w:szCs w:val="20"/>
        </w:rPr>
        <w:t xml:space="preserve"> </w:t>
      </w:r>
    </w:p>
    <w:p w:rsidR="00000000" w:rsidRDefault="006D723D">
      <w:pPr>
        <w:pStyle w:val="a3"/>
        <w:spacing w:before="360" w:beforeAutospacing="0" w:after="0" w:afterAutospacing="0"/>
        <w:ind w:hanging="1220"/>
        <w:jc w:val="both"/>
        <w:rPr>
          <w:sz w:val="20"/>
          <w:szCs w:val="20"/>
        </w:rPr>
      </w:pPr>
      <w:r>
        <w:rPr>
          <w:b/>
          <w:bCs/>
          <w:sz w:val="20"/>
          <w:szCs w:val="20"/>
        </w:rPr>
        <w:t>ITEM 7A. QUANTITATIVE AND QUALITA</w:t>
      </w:r>
      <w:r>
        <w:rPr>
          <w:b/>
          <w:bCs/>
          <w:sz w:val="20"/>
          <w:szCs w:val="20"/>
        </w:rPr>
        <w:t>T</w:t>
      </w:r>
      <w:r>
        <w:rPr>
          <w:b/>
          <w:bCs/>
          <w:sz w:val="20"/>
          <w:szCs w:val="20"/>
        </w:rPr>
        <w:t>IVE DISCLOSURES ABOUT MARKET RISK</w:t>
      </w:r>
      <w:r>
        <w:rPr>
          <w:b/>
          <w:bCs/>
          <w:sz w:val="20"/>
          <w:szCs w:val="20"/>
        </w:rPr>
        <w:t>.</w:t>
      </w:r>
    </w:p>
    <w:p w:rsidR="00000000" w:rsidRDefault="006D723D">
      <w:pPr>
        <w:pStyle w:val="a3"/>
        <w:spacing w:before="120" w:beforeAutospacing="0" w:after="0" w:afterAutospacing="0"/>
        <w:jc w:val="both"/>
        <w:rPr>
          <w:sz w:val="20"/>
          <w:szCs w:val="20"/>
        </w:rPr>
      </w:pPr>
      <w:r>
        <w:rPr>
          <w:sz w:val="20"/>
          <w:szCs w:val="20"/>
        </w:rPr>
        <w:t xml:space="preserve">Our primary market risk exposure is to changes in U.S. interest </w:t>
      </w:r>
      <w:r>
        <w:rPr>
          <w:sz w:val="20"/>
          <w:szCs w:val="20"/>
        </w:rPr>
        <w:t>rates. In an effort to mitigate inflation, the Federal Reserve has increased interest rates throughout 2022, and it is anticipated that interest rates will continue to rise in the near term. We are exposed to market risk related to our Bank Credit Facility</w:t>
      </w:r>
      <w:r>
        <w:rPr>
          <w:sz w:val="20"/>
          <w:szCs w:val="20"/>
        </w:rPr>
        <w:t xml:space="preserve"> because the interest rates on these loans are subject to fluctuations in the market. We were also exposed to market risk related to our Term Loan B prior to its prepayment in full in May 2022. If the interest rate for our outstanding indebtedness under th</w:t>
      </w:r>
      <w:r>
        <w:rPr>
          <w:sz w:val="20"/>
          <w:szCs w:val="20"/>
        </w:rPr>
        <w:t>e Revolving Credit Facility, the Term Loan A, and the Term Loan B was 100 basis points higher or lower (but not less than 0%) during the years ended December 31, 2022, 2021, and 2020, our interest expense, net of amounts capitalized, would have been increa</w:t>
      </w:r>
      <w:r>
        <w:rPr>
          <w:sz w:val="20"/>
          <w:szCs w:val="20"/>
        </w:rPr>
        <w:t>sed by $1.4 million, $3.0 million, and $8.0 million, respectively, and would have been decreased by $0.8 million, $0.3 million, and $3.4 million, respectively</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As of December 31, 2022, we had outstanding $153.8 million of senior notes due 2023 with a fixe</w:t>
      </w:r>
      <w:r>
        <w:rPr>
          <w:sz w:val="20"/>
          <w:szCs w:val="20"/>
        </w:rPr>
        <w:t>d interest rate of 4.625%, $614.1 million of senior notes due 2026 with a fixed interest rate of 8.25%, and $250.0 million of senior notes due 2027 with a fixed interest rate of 4.75%. We also had $150.4 million outstanding under the Kansas Notes with a fi</w:t>
      </w:r>
      <w:r>
        <w:rPr>
          <w:sz w:val="20"/>
          <w:szCs w:val="20"/>
        </w:rPr>
        <w:t>xed interest rate of 4.43%. Because the interest rates with respect to these instruments are fixed, a hypothetical 100 basis point increase or decrease in market interest rates would not have a material impact on our financial statements</w:t>
      </w:r>
      <w:r>
        <w:rPr>
          <w:sz w:val="20"/>
          <w:szCs w:val="20"/>
        </w:rPr>
        <w:t>.</w:t>
      </w:r>
    </w:p>
    <w:p w:rsidR="00000000" w:rsidRDefault="006D723D">
      <w:pPr>
        <w:pStyle w:val="a3"/>
        <w:spacing w:before="240" w:beforeAutospacing="0" w:after="0" w:afterAutospacing="0"/>
        <w:jc w:val="both"/>
        <w:rPr>
          <w:sz w:val="20"/>
          <w:szCs w:val="20"/>
        </w:rPr>
      </w:pPr>
      <w:r>
        <w:rPr>
          <w:sz w:val="20"/>
          <w:szCs w:val="20"/>
        </w:rPr>
        <w:t>We may, from time</w:t>
      </w:r>
      <w:r>
        <w:rPr>
          <w:sz w:val="20"/>
          <w:szCs w:val="20"/>
        </w:rPr>
        <w:t xml:space="preserve"> to time, invest our cash in a variety of short-term financial instruments. These instruments generally consist of highly liquid investments with original maturities at the date of purchase of three months or less. While these investments are subject to in</w:t>
      </w:r>
      <w:r>
        <w:rPr>
          <w:sz w:val="20"/>
          <w:szCs w:val="20"/>
        </w:rPr>
        <w:t xml:space="preserve">terest rate risk and will decline in value if market interest rates increase, a hypothetical 100 basis point increase or decrease in market interest rates would not materially affect the value of these instruments. See the risk factor discussion captioned </w:t>
      </w:r>
      <w:r>
        <w:rPr>
          <w:sz w:val="20"/>
          <w:szCs w:val="20"/>
        </w:rPr>
        <w:t>"</w:t>
      </w:r>
      <w:r>
        <w:rPr>
          <w:i/>
          <w:iCs/>
          <w:sz w:val="20"/>
          <w:szCs w:val="20"/>
        </w:rPr>
        <w:t>Rising interest rates increase the cost of our variable rate deb</w:t>
      </w:r>
      <w:r>
        <w:rPr>
          <w:i/>
          <w:iCs/>
          <w:sz w:val="20"/>
          <w:szCs w:val="20"/>
        </w:rPr>
        <w:t>t</w:t>
      </w:r>
      <w:r>
        <w:rPr>
          <w:sz w:val="20"/>
          <w:szCs w:val="20"/>
        </w:rPr>
        <w:t>" under</w:t>
      </w:r>
      <w:r>
        <w:rPr>
          <w:sz w:val="20"/>
          <w:szCs w:val="20"/>
        </w:rPr>
        <w:t xml:space="preserve"> </w:t>
      </w:r>
      <w:r>
        <w:rPr>
          <w:i/>
          <w:iCs/>
          <w:sz w:val="20"/>
          <w:szCs w:val="20"/>
        </w:rPr>
        <w:t>Part 1, Item 1A</w:t>
      </w:r>
      <w:r>
        <w:rPr>
          <w:i/>
          <w:iCs/>
          <w:sz w:val="20"/>
          <w:szCs w:val="20"/>
        </w:rPr>
        <w:t xml:space="preserve"> </w:t>
      </w:r>
      <w:r>
        <w:rPr>
          <w:sz w:val="20"/>
          <w:szCs w:val="20"/>
        </w:rPr>
        <w:t>of this Annual Report on Form 10-K for more discussion on interest rate risks that may affect our financial condition</w:t>
      </w:r>
      <w:r>
        <w:rPr>
          <w:sz w:val="20"/>
          <w:szCs w:val="20"/>
        </w:rPr>
        <w:t>.</w:t>
      </w:r>
    </w:p>
    <w:p w:rsidR="00000000" w:rsidRDefault="006D723D">
      <w:pPr>
        <w:pStyle w:val="a3"/>
        <w:spacing w:before="360" w:beforeAutospacing="0" w:after="0" w:afterAutospacing="0"/>
        <w:ind w:hanging="1220"/>
        <w:jc w:val="both"/>
        <w:rPr>
          <w:sz w:val="20"/>
          <w:szCs w:val="20"/>
        </w:rPr>
      </w:pPr>
      <w:r>
        <w:rPr>
          <w:b/>
          <w:bCs/>
          <w:sz w:val="20"/>
          <w:szCs w:val="20"/>
        </w:rPr>
        <w:t>ITEM 8. FINANCIAL STATEME</w:t>
      </w:r>
      <w:r>
        <w:rPr>
          <w:b/>
          <w:bCs/>
          <w:sz w:val="20"/>
          <w:szCs w:val="20"/>
        </w:rPr>
        <w:t>N</w:t>
      </w:r>
      <w:r>
        <w:rPr>
          <w:b/>
          <w:bCs/>
          <w:sz w:val="20"/>
          <w:szCs w:val="20"/>
        </w:rPr>
        <w:t xml:space="preserve">TS AND SUPPLEMENTARY </w:t>
      </w:r>
      <w:r>
        <w:rPr>
          <w:b/>
          <w:bCs/>
          <w:sz w:val="20"/>
          <w:szCs w:val="20"/>
        </w:rPr>
        <w:t>DATA</w:t>
      </w:r>
      <w:r>
        <w:rPr>
          <w:b/>
          <w:bCs/>
          <w:sz w:val="20"/>
          <w:szCs w:val="20"/>
        </w:rPr>
        <w:t>.</w:t>
      </w:r>
    </w:p>
    <w:p w:rsidR="00000000" w:rsidRDefault="006D723D">
      <w:pPr>
        <w:pStyle w:val="a3"/>
        <w:spacing w:before="120" w:beforeAutospacing="0" w:after="0" w:afterAutospacing="0"/>
        <w:jc w:val="both"/>
        <w:rPr>
          <w:sz w:val="20"/>
          <w:szCs w:val="20"/>
        </w:rPr>
      </w:pPr>
      <w:r>
        <w:rPr>
          <w:sz w:val="20"/>
          <w:szCs w:val="20"/>
        </w:rPr>
        <w:t>The financial statements and supplementary data required by Regulation S-X are included in this Annual Report on Form 10-K commencing on Page F-1</w:t>
      </w:r>
      <w:r>
        <w:rPr>
          <w:sz w:val="20"/>
          <w:szCs w:val="20"/>
        </w:rPr>
        <w:t>.</w:t>
      </w:r>
    </w:p>
    <w:p w:rsidR="00000000" w:rsidRDefault="006D723D">
      <w:pPr>
        <w:pStyle w:val="a3"/>
        <w:spacing w:before="240" w:beforeAutospacing="0" w:after="0" w:afterAutospacing="0"/>
        <w:jc w:val="center"/>
        <w:rPr>
          <w:sz w:val="20"/>
          <w:szCs w:val="20"/>
        </w:rPr>
      </w:pPr>
      <w:r>
        <w:rPr>
          <w:sz w:val="20"/>
          <w:szCs w:val="20"/>
        </w:rPr>
        <w:t>9</w:t>
      </w:r>
      <w:r>
        <w:rPr>
          <w:sz w:val="20"/>
          <w:szCs w:val="20"/>
        </w:rPr>
        <w:t>3</w:t>
      </w:r>
    </w:p>
    <w:p w:rsidR="00000000" w:rsidRDefault="006D723D">
      <w:pPr>
        <w:rPr>
          <w:rFonts w:eastAsia="Times New Roman"/>
        </w:rPr>
      </w:pPr>
      <w:r>
        <w:rPr>
          <w:rFonts w:eastAsia="Times New Roman"/>
        </w:rPr>
        <w:pict>
          <v:rect id="_x0000_i1117"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360" w:beforeAutospacing="0" w:after="0" w:afterAutospacing="0"/>
        <w:ind w:hanging="1220"/>
        <w:jc w:val="both"/>
        <w:rPr>
          <w:sz w:val="20"/>
          <w:szCs w:val="20"/>
        </w:rPr>
      </w:pPr>
      <w:r>
        <w:rPr>
          <w:b/>
          <w:bCs/>
          <w:sz w:val="20"/>
          <w:szCs w:val="20"/>
        </w:rPr>
        <w:t>ITEM 9. CHANGES IN AND DISAGREEMENTS WITH ACCO</w:t>
      </w:r>
      <w:r>
        <w:rPr>
          <w:b/>
          <w:bCs/>
          <w:sz w:val="20"/>
          <w:szCs w:val="20"/>
        </w:rPr>
        <w:t>U</w:t>
      </w:r>
      <w:r>
        <w:rPr>
          <w:b/>
          <w:bCs/>
          <w:sz w:val="20"/>
          <w:szCs w:val="20"/>
        </w:rPr>
        <w:t>NTANTS ON ACCOU</w:t>
      </w:r>
      <w:r>
        <w:rPr>
          <w:b/>
          <w:bCs/>
          <w:sz w:val="20"/>
          <w:szCs w:val="20"/>
        </w:rPr>
        <w:t>NTING AND FINANCIAL DISCLOSURE</w:t>
      </w:r>
      <w:r>
        <w:rPr>
          <w:b/>
          <w:bCs/>
          <w:sz w:val="20"/>
          <w:szCs w:val="20"/>
        </w:rPr>
        <w:t>.</w:t>
      </w:r>
    </w:p>
    <w:p w:rsidR="00000000" w:rsidRDefault="006D723D">
      <w:pPr>
        <w:pStyle w:val="a3"/>
        <w:spacing w:before="120" w:beforeAutospacing="0" w:after="0" w:afterAutospacing="0"/>
        <w:jc w:val="both"/>
        <w:rPr>
          <w:sz w:val="20"/>
          <w:szCs w:val="20"/>
        </w:rPr>
      </w:pPr>
      <w:r>
        <w:rPr>
          <w:sz w:val="20"/>
          <w:szCs w:val="20"/>
        </w:rPr>
        <w:t>None</w:t>
      </w:r>
      <w:r>
        <w:rPr>
          <w:sz w:val="20"/>
          <w:szCs w:val="20"/>
        </w:rPr>
        <w:t>.</w:t>
      </w:r>
    </w:p>
    <w:p w:rsidR="00000000" w:rsidRDefault="006D723D">
      <w:pPr>
        <w:pStyle w:val="a3"/>
        <w:spacing w:before="360" w:beforeAutospacing="0" w:after="0" w:afterAutospacing="0"/>
        <w:ind w:hanging="1220"/>
        <w:jc w:val="both"/>
        <w:rPr>
          <w:sz w:val="20"/>
          <w:szCs w:val="20"/>
        </w:rPr>
      </w:pPr>
      <w:r>
        <w:rPr>
          <w:b/>
          <w:bCs/>
          <w:sz w:val="20"/>
          <w:szCs w:val="20"/>
        </w:rPr>
        <w:t>ITEM 9A. CONTROL</w:t>
      </w:r>
      <w:r>
        <w:rPr>
          <w:b/>
          <w:bCs/>
          <w:sz w:val="20"/>
          <w:szCs w:val="20"/>
        </w:rPr>
        <w:t>S</w:t>
      </w:r>
      <w:r>
        <w:rPr>
          <w:b/>
          <w:bCs/>
          <w:sz w:val="20"/>
          <w:szCs w:val="20"/>
        </w:rPr>
        <w:t xml:space="preserve"> AND PROCEDURES</w:t>
      </w:r>
      <w:r>
        <w:rPr>
          <w:b/>
          <w:bCs/>
          <w:sz w:val="20"/>
          <w:szCs w:val="20"/>
        </w:rPr>
        <w:t>.</w:t>
      </w:r>
    </w:p>
    <w:p w:rsidR="00000000" w:rsidRDefault="006D723D">
      <w:pPr>
        <w:pStyle w:val="a3"/>
        <w:spacing w:before="120" w:beforeAutospacing="0" w:after="0" w:afterAutospacing="0"/>
        <w:jc w:val="both"/>
        <w:rPr>
          <w:sz w:val="20"/>
          <w:szCs w:val="20"/>
        </w:rPr>
      </w:pPr>
      <w:r>
        <w:rPr>
          <w:b/>
          <w:bCs/>
          <w:sz w:val="20"/>
          <w:szCs w:val="20"/>
        </w:rPr>
        <w:t>Management's Evaluation of Disclosure Controls and Procedure</w:t>
      </w:r>
      <w:r>
        <w:rPr>
          <w:b/>
          <w:bCs/>
          <w:sz w:val="20"/>
          <w:szCs w:val="20"/>
        </w:rPr>
        <w:t>s</w:t>
      </w:r>
    </w:p>
    <w:p w:rsidR="00000000" w:rsidRDefault="006D723D">
      <w:pPr>
        <w:pStyle w:val="a3"/>
        <w:spacing w:before="120" w:beforeAutospacing="0" w:after="0" w:afterAutospacing="0"/>
        <w:jc w:val="both"/>
        <w:rPr>
          <w:sz w:val="20"/>
          <w:szCs w:val="20"/>
        </w:rPr>
      </w:pPr>
      <w:r>
        <w:rPr>
          <w:sz w:val="20"/>
          <w:szCs w:val="20"/>
        </w:rPr>
        <w:t>An evaluation was performed under the supervision and with the participation of our senior management, including our Chief</w:t>
      </w:r>
      <w:r>
        <w:rPr>
          <w:sz w:val="20"/>
          <w:szCs w:val="20"/>
        </w:rPr>
        <w:t xml:space="preserve"> Executive Officer and Chief Financial Officer, of the effectiveness of our disclosure controls and procedures, as defined in Rules 13a-15(e) and 15d-15(e) of the Exchange Act as of the end of the period covered by this Annual Report. Based on that evaluat</w:t>
      </w:r>
      <w:r>
        <w:rPr>
          <w:sz w:val="20"/>
          <w:szCs w:val="20"/>
        </w:rPr>
        <w:t>ion, our officers, including our Chief Executive Officer and Chief Financial Officer, concluded that as of the end of the period covered by this Annual Report our disclosure controls and procedures are effective to ensure that information required to be di</w:t>
      </w:r>
      <w:r>
        <w:rPr>
          <w:sz w:val="20"/>
          <w:szCs w:val="20"/>
        </w:rPr>
        <w:t>sclosed in the reports that we file or submit under the Exchange Act is recorded, processed, summarized, and reported within the time periods specified in the SEC's rules and forms and information required to be disclosed in the reports we file or submit u</w:t>
      </w:r>
      <w:r>
        <w:rPr>
          <w:sz w:val="20"/>
          <w:szCs w:val="20"/>
        </w:rPr>
        <w:t>nder the Exchange Act is accumulated and communicated to our management, including our Chief Executive Officer and Chief Financial Officer, to allow timely decisions regarding required disclosure</w:t>
      </w:r>
      <w:r>
        <w:rPr>
          <w:sz w:val="20"/>
          <w:szCs w:val="20"/>
        </w:rPr>
        <w:t>.</w:t>
      </w:r>
      <w:r>
        <w:rPr>
          <w:sz w:val="20"/>
          <w:szCs w:val="20"/>
        </w:rPr>
        <w:t xml:space="preserve"> </w:t>
      </w:r>
    </w:p>
    <w:p w:rsidR="00000000" w:rsidRDefault="006D723D">
      <w:pPr>
        <w:pStyle w:val="a3"/>
        <w:spacing w:before="360" w:beforeAutospacing="0" w:after="0" w:afterAutospacing="0"/>
        <w:rPr>
          <w:sz w:val="20"/>
          <w:szCs w:val="20"/>
        </w:rPr>
      </w:pPr>
      <w:r>
        <w:rPr>
          <w:b/>
          <w:bCs/>
          <w:sz w:val="20"/>
          <w:szCs w:val="20"/>
        </w:rPr>
        <w:t>Management's Report on Internal Control over Financial Rep</w:t>
      </w:r>
      <w:r>
        <w:rPr>
          <w:b/>
          <w:bCs/>
          <w:sz w:val="20"/>
          <w:szCs w:val="20"/>
        </w:rPr>
        <w:t>ortin</w:t>
      </w:r>
      <w:r>
        <w:rPr>
          <w:b/>
          <w:bCs/>
          <w:sz w:val="20"/>
          <w:szCs w:val="20"/>
        </w:rPr>
        <w:t>g</w:t>
      </w:r>
    </w:p>
    <w:p w:rsidR="00000000" w:rsidRDefault="006D723D">
      <w:pPr>
        <w:pStyle w:val="a3"/>
        <w:spacing w:before="120" w:beforeAutospacing="0" w:after="0" w:afterAutospacing="0"/>
        <w:jc w:val="both"/>
        <w:rPr>
          <w:sz w:val="20"/>
          <w:szCs w:val="20"/>
        </w:rPr>
      </w:pPr>
      <w:r>
        <w:rPr>
          <w:sz w:val="20"/>
          <w:szCs w:val="20"/>
        </w:rPr>
        <w:t>Management of the Company is responsible for establishing and maintaining adequate internal control over financial reporting, as defined in Rules 13a-15(f) and 15d-15(f) under the Exchange Act. The Company's internal control over financial reporting</w:t>
      </w:r>
      <w:r>
        <w:rPr>
          <w:sz w:val="20"/>
          <w:szCs w:val="20"/>
        </w:rPr>
        <w:t xml:space="preserve"> is designed to provide reasonable assurance regarding the reliability of financial reporting and the preparation of financial statements for external purposes in accordance with generally accepted accounting principles. The Company's internal control over</w:t>
      </w:r>
      <w:r>
        <w:rPr>
          <w:sz w:val="20"/>
          <w:szCs w:val="20"/>
        </w:rPr>
        <w:t xml:space="preserve"> financial reporting includes those policies and procedures that</w:t>
      </w:r>
      <w:r>
        <w:rPr>
          <w:sz w:val="20"/>
          <w:szCs w:val="20"/>
        </w:rPr>
        <w:t>:</w:t>
      </w:r>
      <w:r>
        <w:rPr>
          <w:sz w:val="20"/>
          <w:szCs w:val="20"/>
        </w:rPr>
        <w:t xml:space="preserve"> </w:t>
      </w:r>
    </w:p>
    <w:p w:rsidR="00000000" w:rsidRDefault="006D723D">
      <w:pPr>
        <w:jc w:val="both"/>
        <w:divId w:val="1889488849"/>
        <w:rPr>
          <w:rFonts w:eastAsia="Times New Roman"/>
        </w:rPr>
      </w:pPr>
      <w:r>
        <w:rPr>
          <w:rFonts w:eastAsia="Times New Roman"/>
          <w:sz w:val="20"/>
          <w:szCs w:val="20"/>
        </w:rPr>
        <w:t>i</w:t>
      </w:r>
      <w:r>
        <w:rPr>
          <w:rFonts w:eastAsia="Times New Roman"/>
          <w:sz w:val="20"/>
          <w:szCs w:val="20"/>
        </w:rPr>
        <w:t>.</w:t>
      </w:r>
    </w:p>
    <w:p w:rsidR="00000000" w:rsidRDefault="006D723D">
      <w:pPr>
        <w:jc w:val="both"/>
        <w:divId w:val="1422490709"/>
        <w:rPr>
          <w:rFonts w:eastAsia="Times New Roman"/>
        </w:rPr>
      </w:pPr>
      <w:r>
        <w:rPr>
          <w:rFonts w:eastAsia="Times New Roman"/>
          <w:sz w:val="20"/>
          <w:szCs w:val="20"/>
        </w:rPr>
        <w:t>pertain to the maintenance of records that, in reasonable detail, accurately and fairly reflect the transactions and dispositions of the assets of the Company;</w:t>
      </w:r>
      <w:r>
        <w:rPr>
          <w:rFonts w:eastAsia="Times New Roman"/>
          <w:sz w:val="20"/>
          <w:szCs w:val="20"/>
        </w:rPr>
        <w:t xml:space="preserve"> </w:t>
      </w:r>
    </w:p>
    <w:p w:rsidR="00000000" w:rsidRDefault="006D723D">
      <w:pPr>
        <w:jc w:val="both"/>
        <w:divId w:val="125465146"/>
        <w:rPr>
          <w:rFonts w:eastAsia="Times New Roman"/>
        </w:rPr>
      </w:pPr>
      <w:r>
        <w:rPr>
          <w:rFonts w:eastAsia="Times New Roman"/>
          <w:sz w:val="20"/>
          <w:szCs w:val="20"/>
        </w:rPr>
        <w:t>ii</w:t>
      </w:r>
      <w:r>
        <w:rPr>
          <w:rFonts w:eastAsia="Times New Roman"/>
          <w:sz w:val="20"/>
          <w:szCs w:val="20"/>
        </w:rPr>
        <w:t>.</w:t>
      </w:r>
    </w:p>
    <w:p w:rsidR="00000000" w:rsidRDefault="006D723D">
      <w:pPr>
        <w:jc w:val="both"/>
        <w:divId w:val="310990661"/>
        <w:rPr>
          <w:rFonts w:eastAsia="Times New Roman"/>
        </w:rPr>
      </w:pPr>
      <w:r>
        <w:rPr>
          <w:rFonts w:eastAsia="Times New Roman"/>
          <w:sz w:val="20"/>
          <w:szCs w:val="20"/>
        </w:rPr>
        <w:t>provide reasonable assurance that transactions are recorded as necessary to permit preparation of financial statements in accordance with generally accepted accounting principles, and that receipts and expenditures of the Company are being made only in acc</w:t>
      </w:r>
      <w:r>
        <w:rPr>
          <w:rFonts w:eastAsia="Times New Roman"/>
          <w:sz w:val="20"/>
          <w:szCs w:val="20"/>
        </w:rPr>
        <w:t>ordance with authorizations of management and directors of the Company; and</w:t>
      </w:r>
      <w:r>
        <w:rPr>
          <w:rFonts w:eastAsia="Times New Roman"/>
          <w:sz w:val="20"/>
          <w:szCs w:val="20"/>
        </w:rPr>
        <w:t xml:space="preserve"> </w:t>
      </w:r>
    </w:p>
    <w:p w:rsidR="00000000" w:rsidRDefault="006D723D">
      <w:pPr>
        <w:jc w:val="both"/>
        <w:divId w:val="2075927471"/>
        <w:rPr>
          <w:rFonts w:eastAsia="Times New Roman"/>
        </w:rPr>
      </w:pPr>
      <w:r>
        <w:rPr>
          <w:rFonts w:eastAsia="Times New Roman"/>
          <w:sz w:val="20"/>
          <w:szCs w:val="20"/>
        </w:rPr>
        <w:t>iii</w:t>
      </w:r>
      <w:r>
        <w:rPr>
          <w:rFonts w:eastAsia="Times New Roman"/>
          <w:sz w:val="20"/>
          <w:szCs w:val="20"/>
        </w:rPr>
        <w:t>.</w:t>
      </w:r>
    </w:p>
    <w:p w:rsidR="00000000" w:rsidRDefault="006D723D">
      <w:pPr>
        <w:jc w:val="both"/>
        <w:divId w:val="1246845658"/>
        <w:rPr>
          <w:rFonts w:eastAsia="Times New Roman"/>
        </w:rPr>
      </w:pPr>
      <w:r>
        <w:rPr>
          <w:rFonts w:eastAsia="Times New Roman"/>
          <w:sz w:val="20"/>
          <w:szCs w:val="20"/>
        </w:rPr>
        <w:t>provide reasonable assurance regarding prevention or timely detection of unauthorized acquisition, use, or disposition of the Company's assets that could have a material effe</w:t>
      </w:r>
      <w:r>
        <w:rPr>
          <w:rFonts w:eastAsia="Times New Roman"/>
          <w:sz w:val="20"/>
          <w:szCs w:val="20"/>
        </w:rPr>
        <w:t>ct on the financial statements</w:t>
      </w:r>
      <w:r>
        <w:rPr>
          <w:rFonts w:eastAsia="Times New Roman"/>
          <w:sz w:val="20"/>
          <w:szCs w:val="20"/>
        </w:rPr>
        <w:t>.</w:t>
      </w:r>
    </w:p>
    <w:p w:rsidR="00000000" w:rsidRDefault="006D723D">
      <w:pPr>
        <w:pStyle w:val="a3"/>
        <w:spacing w:before="240" w:beforeAutospacing="0" w:after="0" w:afterAutospacing="0"/>
        <w:jc w:val="both"/>
        <w:rPr>
          <w:sz w:val="20"/>
          <w:szCs w:val="20"/>
        </w:rPr>
      </w:pPr>
      <w:r>
        <w:rPr>
          <w:sz w:val="20"/>
          <w:szCs w:val="20"/>
        </w:rPr>
        <w:t>Because of its inherent limitations, internal control over financial reporting may not prevent or detect misstatements. Also, projections of any evaluation of effectiveness to future periods are subject to the risk that cont</w:t>
      </w:r>
      <w:r>
        <w:rPr>
          <w:sz w:val="20"/>
          <w:szCs w:val="20"/>
        </w:rPr>
        <w:t>rols may become inadequate because of changes in conditions, or that the degree of compliance with the policies or procedures may deteriorate</w:t>
      </w:r>
      <w:r>
        <w:rPr>
          <w:sz w:val="20"/>
          <w:szCs w:val="20"/>
        </w:rPr>
        <w:t>.</w:t>
      </w:r>
      <w:r>
        <w:rPr>
          <w:sz w:val="20"/>
          <w:szCs w:val="20"/>
        </w:rPr>
        <w:t xml:space="preserve"> </w:t>
      </w:r>
    </w:p>
    <w:p w:rsidR="00000000" w:rsidRDefault="006D723D">
      <w:pPr>
        <w:pStyle w:val="a3"/>
        <w:spacing w:before="240" w:beforeAutospacing="0" w:after="0" w:afterAutospacing="0"/>
        <w:jc w:val="both"/>
        <w:rPr>
          <w:sz w:val="20"/>
          <w:szCs w:val="20"/>
        </w:rPr>
      </w:pPr>
      <w:r>
        <w:rPr>
          <w:sz w:val="20"/>
          <w:szCs w:val="20"/>
        </w:rPr>
        <w:t xml:space="preserve">Management assessed the effectiveness of the Company's internal control over financial reporting as of December </w:t>
      </w:r>
      <w:r>
        <w:rPr>
          <w:sz w:val="20"/>
          <w:szCs w:val="20"/>
        </w:rPr>
        <w:t>31, 2022. In making this assessment, management used the criteria set forth by the Committee of Sponsoring Organizations of the Treadway Commission (COSO) in Internal Control-Integrated Framework released in 2013. Based on this assessment, management belie</w:t>
      </w:r>
      <w:r>
        <w:rPr>
          <w:sz w:val="20"/>
          <w:szCs w:val="20"/>
        </w:rPr>
        <w:t>ves that, as of December 31, 2022, the Company's internal control over financial reporting was effective</w:t>
      </w:r>
      <w:r>
        <w:rPr>
          <w:sz w:val="20"/>
          <w:szCs w:val="20"/>
        </w:rPr>
        <w:t>.</w:t>
      </w:r>
    </w:p>
    <w:p w:rsidR="00000000" w:rsidRDefault="006D723D">
      <w:pPr>
        <w:pStyle w:val="a3"/>
        <w:spacing w:before="240" w:beforeAutospacing="0" w:after="0" w:afterAutospacing="0"/>
        <w:jc w:val="both"/>
        <w:rPr>
          <w:sz w:val="20"/>
          <w:szCs w:val="20"/>
        </w:rPr>
      </w:pPr>
      <w:r>
        <w:rPr>
          <w:sz w:val="20"/>
          <w:szCs w:val="20"/>
        </w:rPr>
        <w:t>The Company's independent registered public accounting firm, Ernst &amp; Young LLP, has issued an attestation report on the Company's internal control ove</w:t>
      </w:r>
      <w:r>
        <w:rPr>
          <w:sz w:val="20"/>
          <w:szCs w:val="20"/>
        </w:rPr>
        <w:t>r financial reporting. That report begins on page 95</w:t>
      </w:r>
      <w:r>
        <w:rPr>
          <w:sz w:val="20"/>
          <w:szCs w:val="20"/>
        </w:rPr>
        <w:t>.</w:t>
      </w:r>
    </w:p>
    <w:p w:rsidR="00000000" w:rsidRDefault="006D723D">
      <w:pPr>
        <w:pStyle w:val="a3"/>
        <w:spacing w:before="360" w:beforeAutospacing="0" w:after="0" w:afterAutospacing="0"/>
        <w:jc w:val="both"/>
        <w:rPr>
          <w:sz w:val="20"/>
          <w:szCs w:val="20"/>
        </w:rPr>
      </w:pPr>
      <w:r>
        <w:rPr>
          <w:b/>
          <w:bCs/>
          <w:sz w:val="20"/>
          <w:szCs w:val="20"/>
        </w:rPr>
        <w:t>Changes in Internal Control over Financial Reportin</w:t>
      </w:r>
      <w:r>
        <w:rPr>
          <w:b/>
          <w:bCs/>
          <w:sz w:val="20"/>
          <w:szCs w:val="20"/>
        </w:rPr>
        <w:t>g</w:t>
      </w:r>
    </w:p>
    <w:p w:rsidR="00000000" w:rsidRDefault="006D723D">
      <w:pPr>
        <w:pStyle w:val="a3"/>
        <w:spacing w:before="120" w:beforeAutospacing="0" w:after="0" w:afterAutospacing="0"/>
        <w:jc w:val="both"/>
        <w:rPr>
          <w:sz w:val="20"/>
          <w:szCs w:val="20"/>
        </w:rPr>
      </w:pPr>
      <w:r>
        <w:rPr>
          <w:sz w:val="20"/>
          <w:szCs w:val="20"/>
        </w:rPr>
        <w:t>There have been no changes in our internal control over financial reporting that occurred during the fourth fiscal quarter of 2022 that have material</w:t>
      </w:r>
      <w:r>
        <w:rPr>
          <w:sz w:val="20"/>
          <w:szCs w:val="20"/>
        </w:rPr>
        <w:t>ly affected, or are likely to materially affect, our internal control over financial reporting</w:t>
      </w:r>
      <w:r>
        <w:rPr>
          <w:sz w:val="20"/>
          <w:szCs w:val="20"/>
        </w:rPr>
        <w:t>.</w:t>
      </w:r>
    </w:p>
    <w:p w:rsidR="00000000" w:rsidRDefault="006D723D">
      <w:pPr>
        <w:pStyle w:val="a3"/>
        <w:spacing w:before="240" w:beforeAutospacing="0" w:after="0" w:afterAutospacing="0"/>
        <w:jc w:val="center"/>
        <w:rPr>
          <w:sz w:val="20"/>
          <w:szCs w:val="20"/>
        </w:rPr>
      </w:pPr>
      <w:r>
        <w:rPr>
          <w:sz w:val="20"/>
          <w:szCs w:val="20"/>
        </w:rPr>
        <w:t>9</w:t>
      </w:r>
      <w:r>
        <w:rPr>
          <w:sz w:val="20"/>
          <w:szCs w:val="20"/>
        </w:rPr>
        <w:t>4</w:t>
      </w:r>
    </w:p>
    <w:p w:rsidR="00000000" w:rsidRDefault="006D723D">
      <w:pPr>
        <w:rPr>
          <w:rFonts w:eastAsia="Times New Roman"/>
        </w:rPr>
      </w:pPr>
      <w:r>
        <w:rPr>
          <w:rFonts w:eastAsia="Times New Roman"/>
        </w:rPr>
        <w:pict>
          <v:rect id="_x0000_i1118"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jc w:val="center"/>
        <w:rPr>
          <w:sz w:val="20"/>
          <w:szCs w:val="20"/>
        </w:rPr>
      </w:pPr>
      <w:r>
        <w:rPr>
          <w:b/>
          <w:bCs/>
          <w:sz w:val="20"/>
          <w:szCs w:val="20"/>
        </w:rPr>
        <w:t>REPORT OF INDEPENDENT REGISTERED PUBLIC ACCOUNTING FIR</w:t>
      </w:r>
      <w:r>
        <w:rPr>
          <w:b/>
          <w:bCs/>
          <w:sz w:val="20"/>
          <w:szCs w:val="20"/>
        </w:rPr>
        <w:t>M</w:t>
      </w:r>
    </w:p>
    <w:p w:rsidR="00000000" w:rsidRDefault="006D723D">
      <w:pPr>
        <w:pStyle w:val="a3"/>
        <w:spacing w:before="0" w:beforeAutospacing="0" w:after="0" w:afterAutospacing="0"/>
        <w:rPr>
          <w:sz w:val="20"/>
          <w:szCs w:val="20"/>
        </w:rPr>
      </w:pPr>
      <w:r>
        <w:rPr>
          <w:sz w:val="23"/>
          <w:szCs w:val="23"/>
        </w:rPr>
        <w:t> </w:t>
      </w:r>
    </w:p>
    <w:p w:rsidR="00000000" w:rsidRDefault="006D723D">
      <w:pPr>
        <w:pStyle w:val="a3"/>
        <w:spacing w:before="0" w:beforeAutospacing="0" w:after="0" w:afterAutospacing="0"/>
        <w:rPr>
          <w:sz w:val="20"/>
          <w:szCs w:val="20"/>
        </w:rPr>
      </w:pPr>
      <w:r>
        <w:rPr>
          <w:sz w:val="20"/>
          <w:szCs w:val="20"/>
        </w:rPr>
        <w:t>To the Stockholders and the Board of Directors of CoreCivic,</w:t>
      </w:r>
      <w:r>
        <w:rPr>
          <w:sz w:val="20"/>
          <w:szCs w:val="20"/>
        </w:rPr>
        <w:t xml:space="preserve"> Inc</w:t>
      </w:r>
      <w:r>
        <w:rPr>
          <w:sz w:val="20"/>
          <w:szCs w:val="20"/>
        </w:rPr>
        <w:t>.</w:t>
      </w:r>
      <w:r>
        <w:rPr>
          <w:sz w:val="20"/>
          <w:szCs w:val="20"/>
        </w:rPr>
        <w:t xml:space="preserve"> </w:t>
      </w:r>
    </w:p>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0" w:beforeAutospacing="0" w:after="0" w:afterAutospacing="0"/>
        <w:jc w:val="both"/>
        <w:rPr>
          <w:sz w:val="20"/>
          <w:szCs w:val="20"/>
        </w:rPr>
      </w:pPr>
      <w:r>
        <w:rPr>
          <w:b/>
          <w:bCs/>
          <w:sz w:val="20"/>
          <w:szCs w:val="20"/>
        </w:rPr>
        <w:t>Opinion on Internal Control Over Financial Reportin</w:t>
      </w:r>
      <w:r>
        <w:rPr>
          <w:b/>
          <w:bCs/>
          <w:sz w:val="20"/>
          <w:szCs w:val="20"/>
        </w:rPr>
        <w:t>g</w:t>
      </w:r>
      <w:r>
        <w:rPr>
          <w:b/>
          <w:bCs/>
          <w:sz w:val="20"/>
          <w:szCs w:val="20"/>
        </w:rPr>
        <w:t xml:space="preserve"> </w:t>
      </w:r>
    </w:p>
    <w:p w:rsidR="00000000" w:rsidRDefault="006D723D">
      <w:pPr>
        <w:pStyle w:val="a3"/>
        <w:spacing w:before="120" w:beforeAutospacing="0" w:after="0" w:afterAutospacing="0"/>
        <w:jc w:val="both"/>
        <w:rPr>
          <w:sz w:val="20"/>
          <w:szCs w:val="20"/>
        </w:rPr>
      </w:pPr>
      <w:r>
        <w:rPr>
          <w:sz w:val="20"/>
          <w:szCs w:val="20"/>
        </w:rPr>
        <w:t>We have audited CoreCivic, Inc. and subsidiaries’ internal control over financial reporting as of December 31, 2022, based on criteria established in Internal Control – Integrated Framework iss</w:t>
      </w:r>
      <w:r>
        <w:rPr>
          <w:sz w:val="20"/>
          <w:szCs w:val="20"/>
        </w:rPr>
        <w:t>ued by the Committee of Sponsoring Organizations of the Treadway Commission (2013 framework) (the COSO criteria). In our opinion, CoreCivic, Inc. and subsidiaries (the Company) maintained, in all material respects, effective internal control over financial</w:t>
      </w:r>
      <w:r>
        <w:rPr>
          <w:sz w:val="20"/>
          <w:szCs w:val="20"/>
        </w:rPr>
        <w:t xml:space="preserve"> reporting as of December 31, 2022, based on the COSO criteria</w:t>
      </w:r>
      <w:r>
        <w:rPr>
          <w:sz w:val="20"/>
          <w:szCs w:val="20"/>
        </w:rPr>
        <w:t>.</w:t>
      </w:r>
      <w:r>
        <w:rPr>
          <w:sz w:val="20"/>
          <w:szCs w:val="20"/>
        </w:rPr>
        <w:t xml:space="preserve"> </w:t>
      </w:r>
    </w:p>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0" w:beforeAutospacing="0" w:after="0" w:afterAutospacing="0"/>
        <w:jc w:val="both"/>
        <w:rPr>
          <w:sz w:val="20"/>
          <w:szCs w:val="20"/>
        </w:rPr>
      </w:pPr>
      <w:r>
        <w:rPr>
          <w:sz w:val="20"/>
          <w:szCs w:val="20"/>
        </w:rPr>
        <w:t>We also have audited, in accordance with the standards of the Public Company Accounting Oversight Board (United States) (PCAOB), the 2022 consolidated financial statements of the Company and our report dated February 21, 2023 expressed an unqualified opini</w:t>
      </w:r>
      <w:r>
        <w:rPr>
          <w:sz w:val="20"/>
          <w:szCs w:val="20"/>
        </w:rPr>
        <w:t>on thereon</w:t>
      </w:r>
      <w:r>
        <w:rPr>
          <w:sz w:val="20"/>
          <w:szCs w:val="20"/>
        </w:rPr>
        <w:t>.</w:t>
      </w:r>
      <w:r>
        <w:rPr>
          <w:sz w:val="20"/>
          <w:szCs w:val="20"/>
        </w:rPr>
        <w:t xml:space="preserve"> </w:t>
      </w:r>
    </w:p>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0" w:beforeAutospacing="0" w:after="0" w:afterAutospacing="0"/>
        <w:jc w:val="both"/>
        <w:rPr>
          <w:sz w:val="20"/>
          <w:szCs w:val="20"/>
        </w:rPr>
      </w:pPr>
      <w:r>
        <w:rPr>
          <w:b/>
          <w:bCs/>
          <w:sz w:val="20"/>
          <w:szCs w:val="20"/>
        </w:rPr>
        <w:t>Basis for Opinio</w:t>
      </w:r>
      <w:r>
        <w:rPr>
          <w:b/>
          <w:bCs/>
          <w:sz w:val="20"/>
          <w:szCs w:val="20"/>
        </w:rPr>
        <w:t>n</w:t>
      </w:r>
    </w:p>
    <w:p w:rsidR="00000000" w:rsidRDefault="006D723D">
      <w:pPr>
        <w:pStyle w:val="a3"/>
        <w:spacing w:before="120" w:beforeAutospacing="0" w:after="0" w:afterAutospacing="0"/>
        <w:jc w:val="both"/>
        <w:rPr>
          <w:sz w:val="20"/>
          <w:szCs w:val="20"/>
        </w:rPr>
      </w:pPr>
      <w:r>
        <w:rPr>
          <w:sz w:val="20"/>
          <w:szCs w:val="20"/>
        </w:rPr>
        <w:t>The Company’s management is responsible for maintaining effective internal control over financial reporting and for its assessment of the effectiveness of internal control over financial reporting included in the accompanyi</w:t>
      </w:r>
      <w:r>
        <w:rPr>
          <w:sz w:val="20"/>
          <w:szCs w:val="20"/>
        </w:rPr>
        <w:t>ng Management’s Report on Internal Control Over Financial Reporting. Our responsibility is to express an opinion on the Company’s internal control over financial reporting based on our audit. We are a public accounting firm registered with the PCAOB and ar</w:t>
      </w:r>
      <w:r>
        <w:rPr>
          <w:sz w:val="20"/>
          <w:szCs w:val="20"/>
        </w:rPr>
        <w:t>e required to be independent with respect to the Company in accordance with the U.S. federal securities laws and the applicable rules and regulations of the Securities and Exchange Commission and the PCAOB</w:t>
      </w:r>
      <w:r>
        <w:rPr>
          <w:sz w:val="20"/>
          <w:szCs w:val="20"/>
        </w:rPr>
        <w:t>.</w:t>
      </w:r>
      <w:r>
        <w:rPr>
          <w:sz w:val="20"/>
          <w:szCs w:val="20"/>
        </w:rPr>
        <w:t xml:space="preserve"> </w:t>
      </w:r>
    </w:p>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0" w:beforeAutospacing="0" w:after="0" w:afterAutospacing="0"/>
        <w:jc w:val="both"/>
        <w:rPr>
          <w:sz w:val="20"/>
          <w:szCs w:val="20"/>
        </w:rPr>
      </w:pPr>
      <w:r>
        <w:rPr>
          <w:sz w:val="20"/>
          <w:szCs w:val="20"/>
        </w:rPr>
        <w:t xml:space="preserve">We conducted our audit in accordance with the </w:t>
      </w:r>
      <w:r>
        <w:rPr>
          <w:sz w:val="20"/>
          <w:szCs w:val="20"/>
        </w:rPr>
        <w:t>standards of the PCAOB. Those standards require that we plan and perform the audit to obtain reasonable assurance about whether effective internal control over financial reporting was maintained in all material respects</w:t>
      </w:r>
      <w:r>
        <w:rPr>
          <w:sz w:val="20"/>
          <w:szCs w:val="20"/>
        </w:rPr>
        <w:t>.</w:t>
      </w:r>
      <w:r>
        <w:rPr>
          <w:sz w:val="20"/>
          <w:szCs w:val="20"/>
        </w:rPr>
        <w:t xml:space="preserve"> </w:t>
      </w:r>
    </w:p>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0" w:beforeAutospacing="0" w:after="0" w:afterAutospacing="0"/>
        <w:jc w:val="both"/>
        <w:rPr>
          <w:sz w:val="20"/>
          <w:szCs w:val="20"/>
        </w:rPr>
      </w:pPr>
      <w:r>
        <w:rPr>
          <w:sz w:val="20"/>
          <w:szCs w:val="20"/>
        </w:rPr>
        <w:t xml:space="preserve">Our audit included obtaining an </w:t>
      </w:r>
      <w:r>
        <w:rPr>
          <w:sz w:val="20"/>
          <w:szCs w:val="20"/>
        </w:rPr>
        <w:t>understanding of internal control over financial reporting, assessing the risk that a material weakness exists, testing and evaluating the design and operating effectiveness of internal control based on the assessed risk, and performing such other procedur</w:t>
      </w:r>
      <w:r>
        <w:rPr>
          <w:sz w:val="20"/>
          <w:szCs w:val="20"/>
        </w:rPr>
        <w:t>es as we considered necessary in the circumstances. We believe that our audit provides a reasonable basis for our opinion</w:t>
      </w:r>
      <w:r>
        <w:rPr>
          <w:sz w:val="20"/>
          <w:szCs w:val="20"/>
        </w:rPr>
        <w:t>.</w:t>
      </w:r>
    </w:p>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0" w:beforeAutospacing="0" w:after="0" w:afterAutospacing="0"/>
        <w:jc w:val="both"/>
        <w:rPr>
          <w:sz w:val="20"/>
          <w:szCs w:val="20"/>
        </w:rPr>
      </w:pPr>
      <w:r>
        <w:rPr>
          <w:b/>
          <w:bCs/>
          <w:sz w:val="20"/>
          <w:szCs w:val="20"/>
        </w:rPr>
        <w:t>Definition and Limitations of Internal Control Over Financial Reportin</w:t>
      </w:r>
      <w:r>
        <w:rPr>
          <w:b/>
          <w:bCs/>
          <w:sz w:val="20"/>
          <w:szCs w:val="20"/>
        </w:rPr>
        <w:t>g</w:t>
      </w:r>
      <w:r>
        <w:rPr>
          <w:b/>
          <w:bCs/>
          <w:sz w:val="20"/>
          <w:szCs w:val="20"/>
        </w:rPr>
        <w:t xml:space="preserve"> </w:t>
      </w:r>
    </w:p>
    <w:p w:rsidR="00000000" w:rsidRDefault="006D723D">
      <w:pPr>
        <w:pStyle w:val="a3"/>
        <w:spacing w:before="120" w:beforeAutospacing="0" w:after="0" w:afterAutospacing="0"/>
        <w:jc w:val="both"/>
        <w:rPr>
          <w:sz w:val="20"/>
          <w:szCs w:val="20"/>
        </w:rPr>
      </w:pPr>
      <w:r>
        <w:rPr>
          <w:sz w:val="20"/>
          <w:szCs w:val="20"/>
        </w:rPr>
        <w:t>A company’s internal control over financial reporting is a</w:t>
      </w:r>
      <w:r>
        <w:rPr>
          <w:sz w:val="20"/>
          <w:szCs w:val="20"/>
        </w:rPr>
        <w:t xml:space="preserve"> process designed to provide reasonable assurance regarding the reliability of financial reporting and the preparation of financial statements for external purposes in accordance with generally accepted accounting principles. A company’s internal control o</w:t>
      </w:r>
      <w:r>
        <w:rPr>
          <w:sz w:val="20"/>
          <w:szCs w:val="20"/>
        </w:rPr>
        <w:t>ver financial reporting includes those policies and procedures that (1) pertain to the maintenance of records that, in reasonable detail, accurately and fairly reflect the transactions and dispositions of the assets of the company; (2) provide reasonable a</w:t>
      </w:r>
      <w:r>
        <w:rPr>
          <w:sz w:val="20"/>
          <w:szCs w:val="20"/>
        </w:rPr>
        <w:t>ssurance that transactions are recorded as necessary to permit preparation of financial statements in accordance with generally accepted accounting principles, and that receipts and expenditures of the company are being made only in accordance with authori</w:t>
      </w:r>
      <w:r>
        <w:rPr>
          <w:sz w:val="20"/>
          <w:szCs w:val="20"/>
        </w:rPr>
        <w:t>zations of management and directors of the company; and (3) provide reasonable assurance regarding prevention or timely detection of unauthorized acquisition, use, or disposition of the company’s assets that could have a material effect on the financial st</w:t>
      </w:r>
      <w:r>
        <w:rPr>
          <w:sz w:val="20"/>
          <w:szCs w:val="20"/>
        </w:rPr>
        <w:t>atements</w:t>
      </w:r>
      <w:r>
        <w:rPr>
          <w:sz w:val="20"/>
          <w:szCs w:val="20"/>
        </w:rPr>
        <w:t>.</w:t>
      </w:r>
    </w:p>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0" w:beforeAutospacing="0" w:after="0" w:afterAutospacing="0"/>
        <w:jc w:val="both"/>
        <w:rPr>
          <w:sz w:val="20"/>
          <w:szCs w:val="20"/>
        </w:rPr>
      </w:pPr>
      <w:r>
        <w:rPr>
          <w:sz w:val="20"/>
          <w:szCs w:val="20"/>
        </w:rPr>
        <w:t>Because of its inherent limitations, internal control over financial reporting may not prevent or detect misstatements. Also, projections of any evaluation of effectiveness to future periods are subject to the risk that controls may become inad</w:t>
      </w:r>
      <w:r>
        <w:rPr>
          <w:sz w:val="20"/>
          <w:szCs w:val="20"/>
        </w:rPr>
        <w:t>equate because of changes in conditions, or that the degree of compliance with the policies or procedures may deteriorate</w:t>
      </w:r>
      <w:r>
        <w:rPr>
          <w:sz w:val="20"/>
          <w:szCs w:val="20"/>
        </w:rPr>
        <w:t>.</w:t>
      </w:r>
    </w:p>
    <w:p w:rsidR="00000000" w:rsidRDefault="006D723D">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77"/>
        <w:gridCol w:w="112"/>
        <w:gridCol w:w="2417"/>
      </w:tblGrid>
      <w:tr w:rsidR="00000000">
        <w:trPr>
          <w:tblCellSpacing w:w="15" w:type="dxa"/>
        </w:trPr>
        <w:tc>
          <w:tcPr>
            <w:tcW w:w="3500" w:type="pct"/>
            <w:vAlign w:val="center"/>
            <w:hideMark/>
          </w:tcPr>
          <w:p w:rsidR="00000000" w:rsidRDefault="006D723D">
            <w:pPr>
              <w:rPr>
                <w:sz w:val="20"/>
                <w:szCs w:val="20"/>
              </w:rPr>
            </w:pPr>
          </w:p>
        </w:tc>
        <w:tc>
          <w:tcPr>
            <w:tcW w:w="50" w:type="pct"/>
            <w:vAlign w:val="center"/>
            <w:hideMark/>
          </w:tcPr>
          <w:p w:rsidR="00000000" w:rsidRDefault="006D723D">
            <w:pPr>
              <w:rPr>
                <w:rFonts w:eastAsia="Times New Roman"/>
                <w:sz w:val="20"/>
                <w:szCs w:val="20"/>
              </w:rPr>
            </w:pPr>
          </w:p>
        </w:tc>
        <w:tc>
          <w:tcPr>
            <w:tcW w:w="1449" w:type="pct"/>
            <w:vAlign w:val="center"/>
            <w:hideMark/>
          </w:tcPr>
          <w:p w:rsidR="00000000" w:rsidRDefault="006D723D">
            <w:pPr>
              <w:rPr>
                <w:rFonts w:eastAsia="Times New Roman"/>
                <w:sz w:val="20"/>
                <w:szCs w:val="20"/>
              </w:rPr>
            </w:pP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/s/ Ernst &amp; Young LL</w:t>
            </w:r>
            <w:r>
              <w:rPr>
                <w:sz w:val="20"/>
                <w:szCs w:val="20"/>
              </w:rPr>
              <w:t>P</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r>
      <w:tr w:rsidR="00000000">
        <w:trPr>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Nashville, Tennesse</w:t>
            </w:r>
            <w:r>
              <w:rPr>
                <w:sz w:val="20"/>
                <w:szCs w:val="20"/>
              </w:rPr>
              <w:t>e</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February 21, 202</w:t>
            </w:r>
            <w:r>
              <w:rPr>
                <w:sz w:val="20"/>
                <w:szCs w:val="20"/>
              </w:rPr>
              <w:t>3</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r>
    </w:tbl>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240" w:beforeAutospacing="0" w:after="0" w:afterAutospacing="0"/>
        <w:jc w:val="center"/>
        <w:rPr>
          <w:sz w:val="20"/>
          <w:szCs w:val="20"/>
        </w:rPr>
      </w:pPr>
      <w:r>
        <w:rPr>
          <w:sz w:val="20"/>
          <w:szCs w:val="20"/>
        </w:rPr>
        <w:t>9</w:t>
      </w:r>
      <w:r>
        <w:rPr>
          <w:sz w:val="20"/>
          <w:szCs w:val="20"/>
        </w:rPr>
        <w:t>5</w:t>
      </w:r>
    </w:p>
    <w:p w:rsidR="00000000" w:rsidRDefault="006D723D">
      <w:pPr>
        <w:rPr>
          <w:rFonts w:eastAsia="Times New Roman"/>
        </w:rPr>
      </w:pPr>
      <w:r>
        <w:rPr>
          <w:rFonts w:eastAsia="Times New Roman"/>
        </w:rPr>
        <w:pict>
          <v:rect id="_x0000_i1119"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ind w:hanging="1220"/>
        <w:jc w:val="both"/>
        <w:rPr>
          <w:sz w:val="20"/>
          <w:szCs w:val="20"/>
        </w:rPr>
      </w:pPr>
      <w:r>
        <w:rPr>
          <w:b/>
          <w:bCs/>
          <w:sz w:val="20"/>
          <w:szCs w:val="20"/>
        </w:rPr>
        <w:t>ITEM 9B. OTH</w:t>
      </w:r>
      <w:r>
        <w:rPr>
          <w:b/>
          <w:bCs/>
          <w:sz w:val="20"/>
          <w:szCs w:val="20"/>
        </w:rPr>
        <w:t>E</w:t>
      </w:r>
      <w:r>
        <w:rPr>
          <w:b/>
          <w:bCs/>
          <w:sz w:val="20"/>
          <w:szCs w:val="20"/>
        </w:rPr>
        <w:t>R INFORMATIO</w:t>
      </w:r>
      <w:r>
        <w:rPr>
          <w:b/>
          <w:bCs/>
          <w:sz w:val="20"/>
          <w:szCs w:val="20"/>
        </w:rPr>
        <w:t>N</w:t>
      </w:r>
    </w:p>
    <w:p w:rsidR="00000000" w:rsidRDefault="006D723D">
      <w:pPr>
        <w:pStyle w:val="a3"/>
        <w:spacing w:before="120" w:beforeAutospacing="0" w:after="0" w:afterAutospacing="0"/>
        <w:jc w:val="both"/>
        <w:rPr>
          <w:sz w:val="20"/>
          <w:szCs w:val="20"/>
        </w:rPr>
      </w:pPr>
      <w:r>
        <w:rPr>
          <w:sz w:val="20"/>
          <w:szCs w:val="20"/>
        </w:rPr>
        <w:t>None</w:t>
      </w:r>
      <w:r>
        <w:rPr>
          <w:sz w:val="20"/>
          <w:szCs w:val="20"/>
        </w:rPr>
        <w:t>.</w:t>
      </w:r>
    </w:p>
    <w:p w:rsidR="00000000" w:rsidRDefault="006D723D">
      <w:pPr>
        <w:pStyle w:val="a3"/>
        <w:spacing w:before="120" w:beforeAutospacing="0" w:after="0" w:afterAutospacing="0"/>
        <w:ind w:hanging="1234"/>
        <w:jc w:val="both"/>
        <w:rPr>
          <w:sz w:val="20"/>
          <w:szCs w:val="20"/>
        </w:rPr>
      </w:pPr>
      <w:r>
        <w:rPr>
          <w:sz w:val="20"/>
          <w:szCs w:val="20"/>
        </w:rPr>
        <w:t> </w:t>
      </w:r>
    </w:p>
    <w:p w:rsidR="00000000" w:rsidRDefault="006D723D">
      <w:pPr>
        <w:pStyle w:val="a3"/>
        <w:spacing w:before="120" w:beforeAutospacing="0" w:after="0" w:afterAutospacing="0"/>
        <w:ind w:hanging="1234"/>
        <w:jc w:val="both"/>
        <w:rPr>
          <w:sz w:val="20"/>
          <w:szCs w:val="20"/>
        </w:rPr>
      </w:pPr>
      <w:r>
        <w:rPr>
          <w:b/>
          <w:bCs/>
          <w:sz w:val="20"/>
          <w:szCs w:val="20"/>
        </w:rPr>
        <w:t>ITEM 9C. D</w:t>
      </w:r>
      <w:r>
        <w:rPr>
          <w:b/>
          <w:bCs/>
          <w:sz w:val="20"/>
          <w:szCs w:val="20"/>
        </w:rPr>
        <w:t>I</w:t>
      </w:r>
      <w:r>
        <w:rPr>
          <w:b/>
          <w:bCs/>
          <w:sz w:val="20"/>
          <w:szCs w:val="20"/>
        </w:rPr>
        <w:t>SCLOSURE REGARDING FOREIGN JURISDICTIONS THAT PREVENT INSPECTIONS</w:t>
      </w:r>
      <w:r>
        <w:rPr>
          <w:b/>
          <w:bCs/>
          <w:sz w:val="20"/>
          <w:szCs w:val="20"/>
        </w:rPr>
        <w:t>.</w:t>
      </w:r>
    </w:p>
    <w:p w:rsidR="00000000" w:rsidRDefault="006D723D">
      <w:pPr>
        <w:pStyle w:val="a3"/>
        <w:spacing w:before="120" w:beforeAutospacing="0" w:after="0" w:afterAutospacing="0"/>
        <w:ind w:hanging="1234"/>
        <w:jc w:val="both"/>
        <w:rPr>
          <w:sz w:val="20"/>
          <w:szCs w:val="20"/>
        </w:rPr>
      </w:pPr>
      <w:r>
        <w:rPr>
          <w:sz w:val="20"/>
          <w:szCs w:val="20"/>
        </w:rPr>
        <w:t>None</w:t>
      </w:r>
      <w:r>
        <w:rPr>
          <w:sz w:val="20"/>
          <w:szCs w:val="20"/>
        </w:rPr>
        <w:t>.</w:t>
      </w:r>
    </w:p>
    <w:p w:rsidR="00000000" w:rsidRDefault="006D723D">
      <w:pPr>
        <w:pStyle w:val="a3"/>
        <w:spacing w:before="120" w:beforeAutospacing="0" w:after="0" w:afterAutospacing="0"/>
        <w:jc w:val="both"/>
        <w:rPr>
          <w:sz w:val="20"/>
          <w:szCs w:val="20"/>
        </w:rPr>
      </w:pPr>
      <w:r>
        <w:rPr>
          <w:sz w:val="20"/>
          <w:szCs w:val="20"/>
        </w:rPr>
        <w:t> </w:t>
      </w:r>
    </w:p>
    <w:p w:rsidR="00000000" w:rsidRDefault="006D723D">
      <w:pPr>
        <w:pStyle w:val="a3"/>
        <w:spacing w:before="240" w:beforeAutospacing="0" w:after="0" w:afterAutospacing="0"/>
        <w:jc w:val="center"/>
        <w:rPr>
          <w:sz w:val="20"/>
          <w:szCs w:val="20"/>
        </w:rPr>
      </w:pPr>
      <w:r>
        <w:rPr>
          <w:sz w:val="20"/>
          <w:szCs w:val="20"/>
        </w:rPr>
        <w:t>9</w:t>
      </w:r>
      <w:r>
        <w:rPr>
          <w:sz w:val="20"/>
          <w:szCs w:val="20"/>
        </w:rPr>
        <w:t>6</w:t>
      </w:r>
    </w:p>
    <w:p w:rsidR="00000000" w:rsidRDefault="006D723D">
      <w:pPr>
        <w:rPr>
          <w:rFonts w:eastAsia="Times New Roman"/>
        </w:rPr>
      </w:pPr>
      <w:r>
        <w:rPr>
          <w:rFonts w:eastAsia="Times New Roman"/>
        </w:rPr>
        <w:pict>
          <v:rect id="_x0000_i1120"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jc w:val="center"/>
        <w:rPr>
          <w:sz w:val="20"/>
          <w:szCs w:val="20"/>
        </w:rPr>
      </w:pPr>
      <w:r>
        <w:rPr>
          <w:b/>
          <w:bCs/>
          <w:sz w:val="20"/>
          <w:szCs w:val="20"/>
        </w:rPr>
        <w:t>PART</w:t>
      </w:r>
      <w:r>
        <w:rPr>
          <w:b/>
          <w:bCs/>
          <w:sz w:val="20"/>
          <w:szCs w:val="20"/>
        </w:rPr>
        <w:t xml:space="preserve"> </w:t>
      </w:r>
      <w:r>
        <w:rPr>
          <w:b/>
          <w:bCs/>
          <w:sz w:val="20"/>
          <w:szCs w:val="20"/>
        </w:rPr>
        <w:t>III</w:t>
      </w:r>
      <w:r>
        <w:rPr>
          <w:b/>
          <w:bCs/>
          <w:sz w:val="20"/>
          <w:szCs w:val="20"/>
        </w:rPr>
        <w:t>.</w:t>
      </w:r>
    </w:p>
    <w:p w:rsidR="00000000" w:rsidRDefault="006D723D">
      <w:pPr>
        <w:pStyle w:val="a3"/>
        <w:spacing w:before="240" w:beforeAutospacing="0" w:after="0" w:afterAutospacing="0"/>
        <w:ind w:hanging="1220"/>
        <w:jc w:val="both"/>
        <w:rPr>
          <w:sz w:val="20"/>
          <w:szCs w:val="20"/>
        </w:rPr>
      </w:pPr>
      <w:r>
        <w:rPr>
          <w:b/>
          <w:bCs/>
          <w:sz w:val="20"/>
          <w:szCs w:val="20"/>
        </w:rPr>
        <w:t>ITEM 10. DIRECTORS, EXECUTIVE O</w:t>
      </w:r>
      <w:r>
        <w:rPr>
          <w:b/>
          <w:bCs/>
          <w:sz w:val="20"/>
          <w:szCs w:val="20"/>
        </w:rPr>
        <w:t>F</w:t>
      </w:r>
      <w:r>
        <w:rPr>
          <w:b/>
          <w:bCs/>
          <w:sz w:val="20"/>
          <w:szCs w:val="20"/>
        </w:rPr>
        <w:t>FICERS AND CORPORATE GOVERNANCE</w:t>
      </w:r>
      <w:r>
        <w:rPr>
          <w:b/>
          <w:bCs/>
          <w:sz w:val="20"/>
          <w:szCs w:val="20"/>
        </w:rPr>
        <w:t>.</w:t>
      </w:r>
    </w:p>
    <w:p w:rsidR="00000000" w:rsidRDefault="006D723D">
      <w:pPr>
        <w:pStyle w:val="a3"/>
        <w:spacing w:before="120" w:beforeAutospacing="0" w:after="0" w:afterAutospacing="0"/>
        <w:jc w:val="both"/>
        <w:rPr>
          <w:sz w:val="20"/>
          <w:szCs w:val="20"/>
        </w:rPr>
      </w:pPr>
      <w:r>
        <w:rPr>
          <w:sz w:val="20"/>
          <w:szCs w:val="20"/>
        </w:rPr>
        <w:t>The information required by this Item 10 will appear in, and is hereby incorporated by reference from, the information under the headings "Prop</w:t>
      </w:r>
      <w:r>
        <w:rPr>
          <w:sz w:val="20"/>
          <w:szCs w:val="20"/>
        </w:rPr>
        <w:t>osal 1 – Election of Directors-Incumbent Directors Standing for Re-Election," "Executive Officers," "Corporate Governance – Board Meetings and Committees," "Corporate Governance – Director Independence,” "Corporate Governance – Certain Relationships and Re</w:t>
      </w:r>
      <w:r>
        <w:rPr>
          <w:sz w:val="20"/>
          <w:szCs w:val="20"/>
        </w:rPr>
        <w:t>lated Party Transactions," and "Security Ownership of Certain Beneficial Owners and Management – Section 16(a) Beneficial Ownership Reporting Compliance" in our definitive proxy statement for the 2023 Annual Meeting of Stockholders</w:t>
      </w:r>
      <w:r>
        <w:rPr>
          <w:sz w:val="20"/>
          <w:szCs w:val="20"/>
        </w:rPr>
        <w:t>.</w:t>
      </w:r>
    </w:p>
    <w:p w:rsidR="00000000" w:rsidRDefault="006D723D">
      <w:pPr>
        <w:pStyle w:val="a3"/>
        <w:spacing w:before="240" w:beforeAutospacing="0" w:after="0" w:afterAutospacing="0"/>
        <w:jc w:val="both"/>
        <w:rPr>
          <w:sz w:val="20"/>
          <w:szCs w:val="20"/>
        </w:rPr>
      </w:pPr>
      <w:r>
        <w:rPr>
          <w:sz w:val="20"/>
          <w:szCs w:val="20"/>
        </w:rPr>
        <w:t xml:space="preserve">Our Board of Directors </w:t>
      </w:r>
      <w:r>
        <w:rPr>
          <w:sz w:val="20"/>
          <w:szCs w:val="20"/>
        </w:rPr>
        <w:t xml:space="preserve">has adopted a Code of Ethics and Business Conduct applicable to the members of our Board of Directors and our officers, including our Chief Executive Officer and Chief Financial Officer. In addition, the Board of Directors has adopted Corporate Governance </w:t>
      </w:r>
      <w:r>
        <w:rPr>
          <w:sz w:val="20"/>
          <w:szCs w:val="20"/>
        </w:rPr>
        <w:t>Guidelines and charters for our Audit Committee, Risk Committee, Compensation Committee, Nominating and Governance Committee and Executive Committee. You can access our Code of Ethics and Business Conduct, Corporate Governance Guidelines and current commit</w:t>
      </w:r>
      <w:r>
        <w:rPr>
          <w:sz w:val="20"/>
          <w:szCs w:val="20"/>
        </w:rPr>
        <w:t>tee charters under the "Investor Relations" tab on our website at www.corecivic.com</w:t>
      </w:r>
      <w:r>
        <w:rPr>
          <w:sz w:val="20"/>
          <w:szCs w:val="20"/>
        </w:rPr>
        <w:t>.</w:t>
      </w:r>
    </w:p>
    <w:p w:rsidR="00000000" w:rsidRDefault="006D723D">
      <w:pPr>
        <w:pStyle w:val="a3"/>
        <w:spacing w:before="360" w:beforeAutospacing="0" w:after="0" w:afterAutospacing="0"/>
        <w:ind w:hanging="1220"/>
        <w:jc w:val="both"/>
        <w:rPr>
          <w:sz w:val="20"/>
          <w:szCs w:val="20"/>
        </w:rPr>
      </w:pPr>
      <w:r>
        <w:rPr>
          <w:b/>
          <w:bCs/>
          <w:sz w:val="20"/>
          <w:szCs w:val="20"/>
        </w:rPr>
        <w:t>ITEM 11. EXECUT</w:t>
      </w:r>
      <w:r>
        <w:rPr>
          <w:b/>
          <w:bCs/>
          <w:sz w:val="20"/>
          <w:szCs w:val="20"/>
        </w:rPr>
        <w:t>I</w:t>
      </w:r>
      <w:r>
        <w:rPr>
          <w:b/>
          <w:bCs/>
          <w:sz w:val="20"/>
          <w:szCs w:val="20"/>
        </w:rPr>
        <w:t>VE COMPENSATION</w:t>
      </w:r>
      <w:r>
        <w:rPr>
          <w:b/>
          <w:bCs/>
          <w:sz w:val="20"/>
          <w:szCs w:val="20"/>
        </w:rPr>
        <w:t>.</w:t>
      </w:r>
    </w:p>
    <w:p w:rsidR="00000000" w:rsidRDefault="006D723D">
      <w:pPr>
        <w:pStyle w:val="a3"/>
        <w:spacing w:before="120" w:beforeAutospacing="0" w:after="0" w:afterAutospacing="0"/>
        <w:jc w:val="both"/>
        <w:rPr>
          <w:sz w:val="20"/>
          <w:szCs w:val="20"/>
        </w:rPr>
      </w:pPr>
      <w:r>
        <w:rPr>
          <w:sz w:val="20"/>
          <w:szCs w:val="20"/>
        </w:rPr>
        <w:t xml:space="preserve">The information required by this Item 11 will appear in, and is hereby incorporated by reference from, the information under the headings </w:t>
      </w:r>
      <w:r>
        <w:rPr>
          <w:sz w:val="20"/>
          <w:szCs w:val="20"/>
        </w:rPr>
        <w:t>"Executive and Director Compensation" in our definitive proxy statement for the 2023 Annual Meeting of Stockholders</w:t>
      </w:r>
      <w:r>
        <w:rPr>
          <w:sz w:val="20"/>
          <w:szCs w:val="20"/>
        </w:rPr>
        <w:t>.</w:t>
      </w:r>
    </w:p>
    <w:p w:rsidR="00000000" w:rsidRDefault="006D723D">
      <w:pPr>
        <w:pStyle w:val="a3"/>
        <w:spacing w:before="360" w:beforeAutospacing="0" w:after="0" w:afterAutospacing="0"/>
        <w:ind w:hanging="1220"/>
        <w:jc w:val="both"/>
        <w:rPr>
          <w:sz w:val="20"/>
          <w:szCs w:val="20"/>
        </w:rPr>
      </w:pPr>
      <w:r>
        <w:rPr>
          <w:b/>
          <w:bCs/>
          <w:sz w:val="20"/>
          <w:szCs w:val="20"/>
        </w:rPr>
        <w:t>ITEM 12. SECURITY OWNERSHIP OF CERTAIN BENEFICIAL O</w:t>
      </w:r>
      <w:r>
        <w:rPr>
          <w:b/>
          <w:bCs/>
          <w:sz w:val="20"/>
          <w:szCs w:val="20"/>
        </w:rPr>
        <w:t>W</w:t>
      </w:r>
      <w:r>
        <w:rPr>
          <w:b/>
          <w:bCs/>
          <w:sz w:val="20"/>
          <w:szCs w:val="20"/>
        </w:rPr>
        <w:t>NERS AND MANAGEMENT AND RELATED STOCKHOLDER MATTERS</w:t>
      </w:r>
      <w:r>
        <w:rPr>
          <w:b/>
          <w:bCs/>
          <w:sz w:val="20"/>
          <w:szCs w:val="20"/>
        </w:rPr>
        <w:t>.</w:t>
      </w:r>
    </w:p>
    <w:p w:rsidR="00000000" w:rsidRDefault="006D723D">
      <w:pPr>
        <w:pStyle w:val="a3"/>
        <w:spacing w:before="120" w:beforeAutospacing="0" w:after="0" w:afterAutospacing="0"/>
        <w:jc w:val="both"/>
        <w:rPr>
          <w:sz w:val="20"/>
          <w:szCs w:val="20"/>
        </w:rPr>
      </w:pPr>
      <w:r>
        <w:rPr>
          <w:sz w:val="20"/>
          <w:szCs w:val="20"/>
        </w:rPr>
        <w:t>The information required by this I</w:t>
      </w:r>
      <w:r>
        <w:rPr>
          <w:sz w:val="20"/>
          <w:szCs w:val="20"/>
        </w:rPr>
        <w:t xml:space="preserve">tem 12 will appear in, and is hereby incorporated by reference from, the information under the heading "Security Ownership of Certain Beneficial Owners and Management – Ownership of Common Stock – Directors and Executive Officers," and "Security Ownership </w:t>
      </w:r>
      <w:r>
        <w:rPr>
          <w:sz w:val="20"/>
          <w:szCs w:val="20"/>
        </w:rPr>
        <w:t>of Certain Beneficial Owners and Management – Ownership of Common Stock – Principal Stockholders" in our definitive proxy statement for the 2023 Annual Meeting of Stockholders</w:t>
      </w:r>
      <w:r>
        <w:rPr>
          <w:sz w:val="20"/>
          <w:szCs w:val="20"/>
        </w:rPr>
        <w:t>.</w:t>
      </w:r>
    </w:p>
    <w:p w:rsidR="00000000" w:rsidRDefault="006D723D">
      <w:pPr>
        <w:pStyle w:val="a3"/>
        <w:spacing w:before="360" w:beforeAutospacing="0" w:after="0" w:afterAutospacing="0"/>
        <w:jc w:val="both"/>
        <w:rPr>
          <w:sz w:val="20"/>
          <w:szCs w:val="20"/>
        </w:rPr>
      </w:pPr>
      <w:r>
        <w:rPr>
          <w:b/>
          <w:bCs/>
          <w:i/>
          <w:iCs/>
          <w:sz w:val="20"/>
          <w:szCs w:val="20"/>
        </w:rPr>
        <w:t>Securities Authorized for Issuance Under Equity Compensation Plan</w:t>
      </w:r>
      <w:r>
        <w:rPr>
          <w:b/>
          <w:bCs/>
          <w:i/>
          <w:iCs/>
          <w:sz w:val="20"/>
          <w:szCs w:val="20"/>
        </w:rPr>
        <w:t>s</w:t>
      </w:r>
    </w:p>
    <w:p w:rsidR="00000000" w:rsidRDefault="006D723D">
      <w:pPr>
        <w:pStyle w:val="a3"/>
        <w:spacing w:before="120" w:beforeAutospacing="0" w:after="0" w:afterAutospacing="0"/>
        <w:jc w:val="both"/>
        <w:rPr>
          <w:sz w:val="20"/>
          <w:szCs w:val="20"/>
        </w:rPr>
      </w:pPr>
      <w:r>
        <w:rPr>
          <w:sz w:val="20"/>
          <w:szCs w:val="20"/>
        </w:rPr>
        <w:t>The following table sets forth certain information as of December 31, 2022 regarding compensation plans under which our equity securities are authorized for issuance</w:t>
      </w:r>
      <w:r>
        <w:rPr>
          <w:sz w:val="20"/>
          <w:szCs w:val="20"/>
        </w:rPr>
        <w:t>.</w:t>
      </w:r>
    </w:p>
    <w:p w:rsidR="00000000" w:rsidRDefault="006D723D">
      <w:pPr>
        <w:pStyle w:val="a3"/>
        <w:spacing w:before="0" w:beforeAutospacing="0" w:after="0" w:afterAutospacing="0"/>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806"/>
        <w:gridCol w:w="110"/>
        <w:gridCol w:w="112"/>
        <w:gridCol w:w="802"/>
        <w:gridCol w:w="110"/>
        <w:gridCol w:w="110"/>
        <w:gridCol w:w="161"/>
        <w:gridCol w:w="808"/>
        <w:gridCol w:w="110"/>
        <w:gridCol w:w="110"/>
        <w:gridCol w:w="111"/>
        <w:gridCol w:w="958"/>
        <w:gridCol w:w="110"/>
        <w:gridCol w:w="227"/>
      </w:tblGrid>
      <w:tr w:rsidR="00000000">
        <w:trPr>
          <w:tblCellSpacing w:w="15" w:type="dxa"/>
        </w:trPr>
        <w:tc>
          <w:tcPr>
            <w:tcW w:w="2692" w:type="pct"/>
            <w:vAlign w:val="center"/>
            <w:hideMark/>
          </w:tcPr>
          <w:p w:rsidR="00000000" w:rsidRDefault="006D723D">
            <w:pPr>
              <w:rPr>
                <w:sz w:val="20"/>
                <w:szCs w:val="20"/>
              </w:rPr>
            </w:pPr>
          </w:p>
        </w:tc>
        <w:tc>
          <w:tcPr>
            <w:tcW w:w="1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77"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17"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1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79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155" w:type="pct"/>
            <w:vAlign w:val="center"/>
            <w:hideMark/>
          </w:tcPr>
          <w:p w:rsidR="00000000" w:rsidRDefault="006D723D">
            <w:pPr>
              <w:rPr>
                <w:rFonts w:eastAsia="Times New Roman"/>
                <w:sz w:val="20"/>
                <w:szCs w:val="20"/>
              </w:rPr>
            </w:pP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b/>
                <w:bCs/>
                <w:sz w:val="16"/>
                <w:szCs w:val="16"/>
              </w:rPr>
              <w:t>Plan Categor</w:t>
            </w:r>
            <w:r>
              <w:rPr>
                <w:b/>
                <w:bCs/>
                <w:sz w:val="16"/>
                <w:szCs w:val="16"/>
              </w:rPr>
              <w:t>y</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(a)</w:t>
            </w:r>
            <w:r>
              <w:rPr>
                <w:b/>
                <w:bCs/>
                <w:sz w:val="16"/>
                <w:szCs w:val="16"/>
              </w:rPr>
              <w:br/>
              <w:t>Number of</w:t>
            </w:r>
            <w:r>
              <w:rPr>
                <w:b/>
                <w:bCs/>
                <w:sz w:val="16"/>
                <w:szCs w:val="16"/>
              </w:rPr>
              <w:br/>
              <w:t>Securities</w:t>
            </w:r>
            <w:r>
              <w:rPr>
                <w:b/>
                <w:bCs/>
                <w:sz w:val="16"/>
                <w:szCs w:val="16"/>
              </w:rPr>
              <w:br/>
              <w:t>to be Issued</w:t>
            </w:r>
            <w:r>
              <w:rPr>
                <w:b/>
                <w:bCs/>
                <w:sz w:val="16"/>
                <w:szCs w:val="16"/>
              </w:rPr>
              <w:br/>
            </w:r>
            <w:r>
              <w:rPr>
                <w:b/>
                <w:bCs/>
                <w:sz w:val="16"/>
                <w:szCs w:val="16"/>
              </w:rPr>
              <w:t>Upon Exercise</w:t>
            </w:r>
            <w:r>
              <w:rPr>
                <w:b/>
                <w:bCs/>
                <w:sz w:val="16"/>
                <w:szCs w:val="16"/>
              </w:rPr>
              <w:br/>
              <w:t>of Outstanding</w:t>
            </w:r>
            <w:r>
              <w:rPr>
                <w:b/>
                <w:bCs/>
                <w:sz w:val="16"/>
                <w:szCs w:val="16"/>
              </w:rPr>
              <w:br/>
              <w:t>Option</w:t>
            </w:r>
            <w:r>
              <w:rPr>
                <w:b/>
                <w:bCs/>
                <w:sz w:val="16"/>
                <w:szCs w:val="16"/>
              </w:rPr>
              <w:t>s</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(b)</w:t>
            </w:r>
            <w:r>
              <w:rPr>
                <w:b/>
                <w:bCs/>
                <w:sz w:val="16"/>
                <w:szCs w:val="16"/>
              </w:rPr>
              <w:br/>
              <w:t>Weighted –</w:t>
            </w:r>
            <w:r>
              <w:rPr>
                <w:b/>
                <w:bCs/>
                <w:sz w:val="16"/>
                <w:szCs w:val="16"/>
              </w:rPr>
              <w:br/>
              <w:t>Average</w:t>
            </w:r>
            <w:r>
              <w:rPr>
                <w:b/>
                <w:bCs/>
                <w:sz w:val="16"/>
                <w:szCs w:val="16"/>
              </w:rPr>
              <w:br/>
              <w:t>Exercise Price</w:t>
            </w:r>
            <w:r>
              <w:rPr>
                <w:b/>
                <w:bCs/>
                <w:sz w:val="16"/>
                <w:szCs w:val="16"/>
              </w:rPr>
              <w:br/>
              <w:t>of Outstanding</w:t>
            </w:r>
            <w:r>
              <w:rPr>
                <w:b/>
                <w:bCs/>
                <w:sz w:val="16"/>
                <w:szCs w:val="16"/>
              </w:rPr>
              <w:br/>
              <w:t>Option</w:t>
            </w:r>
            <w:r>
              <w:rPr>
                <w:b/>
                <w:bCs/>
                <w:sz w:val="16"/>
                <w:szCs w:val="16"/>
              </w:rPr>
              <w:t>s</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(c)</w:t>
            </w:r>
            <w:r>
              <w:rPr>
                <w:b/>
                <w:bCs/>
                <w:sz w:val="16"/>
                <w:szCs w:val="16"/>
              </w:rPr>
              <w:br/>
              <w:t>Number of</w:t>
            </w:r>
            <w:r>
              <w:rPr>
                <w:b/>
                <w:bCs/>
                <w:sz w:val="16"/>
                <w:szCs w:val="16"/>
              </w:rPr>
              <w:br/>
              <w:t>Securities</w:t>
            </w:r>
            <w:r>
              <w:rPr>
                <w:b/>
                <w:bCs/>
                <w:sz w:val="16"/>
                <w:szCs w:val="16"/>
              </w:rPr>
              <w:br/>
              <w:t>Remaining</w:t>
            </w:r>
            <w:r>
              <w:rPr>
                <w:b/>
                <w:bCs/>
                <w:sz w:val="16"/>
                <w:szCs w:val="16"/>
              </w:rPr>
              <w:br/>
              <w:t xml:space="preserve">Available </w:t>
            </w:r>
            <w:r>
              <w:rPr>
                <w:b/>
                <w:bCs/>
                <w:sz w:val="16"/>
                <w:szCs w:val="16"/>
              </w:rPr>
              <w:br/>
              <w:t>for Future</w:t>
            </w:r>
            <w:r>
              <w:rPr>
                <w:b/>
                <w:bCs/>
                <w:sz w:val="16"/>
                <w:szCs w:val="16"/>
              </w:rPr>
              <w:br/>
              <w:t>Issuance</w:t>
            </w:r>
            <w:r>
              <w:rPr>
                <w:b/>
                <w:bCs/>
                <w:sz w:val="16"/>
                <w:szCs w:val="16"/>
              </w:rPr>
              <w:br/>
              <w:t>Under Equity</w:t>
            </w:r>
            <w:r>
              <w:rPr>
                <w:b/>
                <w:bCs/>
                <w:sz w:val="16"/>
                <w:szCs w:val="16"/>
              </w:rPr>
              <w:br/>
              <w:t>Compensation</w:t>
            </w:r>
            <w:r>
              <w:rPr>
                <w:b/>
                <w:bCs/>
                <w:sz w:val="16"/>
                <w:szCs w:val="16"/>
              </w:rPr>
              <w:br/>
              <w:t>Plan</w:t>
            </w:r>
            <w:r>
              <w:rPr>
                <w:b/>
                <w:bCs/>
                <w:sz w:val="16"/>
                <w:szCs w:val="16"/>
              </w:rPr>
              <w:t>s</w:t>
            </w:r>
            <w:r>
              <w:rPr>
                <w:rFonts w:ascii="Calibri" w:hAnsi="Calibri" w:cs="Calibri"/>
                <w:b/>
                <w:bCs/>
                <w:sz w:val="16"/>
                <w:szCs w:val="16"/>
              </w:rPr>
              <w:t xml:space="preserve"> </w:t>
            </w:r>
            <w:r>
              <w:rPr>
                <w:b/>
                <w:bCs/>
                <w:sz w:val="16"/>
                <w:szCs w:val="16"/>
              </w:rPr>
              <w:t>(Excluding</w:t>
            </w:r>
            <w:r>
              <w:rPr>
                <w:b/>
                <w:bCs/>
                <w:sz w:val="16"/>
                <w:szCs w:val="16"/>
              </w:rPr>
              <w:br/>
              <w:t>Securities</w:t>
            </w:r>
            <w:r>
              <w:rPr>
                <w:b/>
                <w:bCs/>
                <w:sz w:val="16"/>
                <w:szCs w:val="16"/>
              </w:rPr>
              <w:br/>
              <w:t>Reflected in</w:t>
            </w:r>
            <w:r>
              <w:rPr>
                <w:b/>
                <w:bCs/>
                <w:sz w:val="16"/>
                <w:szCs w:val="16"/>
              </w:rPr>
              <w:br/>
              <w:t>Column</w:t>
            </w:r>
            <w:r>
              <w:rPr>
                <w:b/>
                <w:bCs/>
                <w:sz w:val="16"/>
                <w:szCs w:val="16"/>
              </w:rPr>
              <w:br/>
              <w:t>(a)</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Equity compensation plans approved by</w:t>
            </w:r>
            <w:r>
              <w:rPr>
                <w:sz w:val="20"/>
                <w:szCs w:val="20"/>
              </w:rPr>
              <w:br/>
              <w:t>   stockholder</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7,281,80</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13"/>
                <w:szCs w:val="13"/>
              </w:rPr>
              <w:t>(1</w:t>
            </w:r>
            <w:r>
              <w:rPr>
                <w:sz w:val="13"/>
                <w:szCs w:val="13"/>
              </w:rPr>
              <w:t>)</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Equity compensation plans not approved by</w:t>
            </w:r>
            <w:r>
              <w:rPr>
                <w:sz w:val="20"/>
                <w:szCs w:val="20"/>
              </w:rPr>
              <w:br/>
              <w:t>   stockholder</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7,281,80</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r>
    </w:tbl>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240" w:beforeAutospacing="0" w:after="0" w:afterAutospacing="0"/>
        <w:jc w:val="center"/>
        <w:rPr>
          <w:sz w:val="20"/>
          <w:szCs w:val="20"/>
        </w:rPr>
      </w:pPr>
      <w:r>
        <w:rPr>
          <w:sz w:val="20"/>
          <w:szCs w:val="20"/>
        </w:rPr>
        <w:t>9</w:t>
      </w:r>
      <w:r>
        <w:rPr>
          <w:sz w:val="20"/>
          <w:szCs w:val="20"/>
        </w:rPr>
        <w:t>7</w:t>
      </w:r>
    </w:p>
    <w:p w:rsidR="00000000" w:rsidRDefault="006D723D">
      <w:pPr>
        <w:rPr>
          <w:rFonts w:eastAsia="Times New Roman"/>
        </w:rPr>
      </w:pPr>
      <w:r>
        <w:rPr>
          <w:rFonts w:eastAsia="Times New Roman"/>
        </w:rPr>
        <w:pict>
          <v:rect id="_x0000_i1121"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jc w:val="both"/>
        <w:divId w:val="307516323"/>
        <w:rPr>
          <w:rFonts w:eastAsia="Times New Roman"/>
        </w:rPr>
      </w:pPr>
      <w:r>
        <w:rPr>
          <w:rFonts w:eastAsia="Times New Roman"/>
          <w:sz w:val="18"/>
          <w:szCs w:val="18"/>
        </w:rPr>
        <w:t>(1</w:t>
      </w:r>
      <w:r>
        <w:rPr>
          <w:rFonts w:eastAsia="Times New Roman"/>
          <w:sz w:val="18"/>
          <w:szCs w:val="18"/>
        </w:rPr>
        <w:t>)</w:t>
      </w:r>
    </w:p>
    <w:p w:rsidR="00000000" w:rsidRDefault="006D723D">
      <w:pPr>
        <w:jc w:val="both"/>
        <w:divId w:val="802384006"/>
        <w:rPr>
          <w:rFonts w:eastAsia="Times New Roman"/>
        </w:rPr>
      </w:pPr>
      <w:r>
        <w:rPr>
          <w:rFonts w:eastAsia="Times New Roman"/>
          <w:sz w:val="18"/>
          <w:szCs w:val="18"/>
        </w:rPr>
        <w:t>Reflects shares of common stock available for issuance under our Amended and Restated 2020 Stock Incentive Plan, the only equity compensation plan approved by our stockholders under which we continue to grant award</w:t>
      </w:r>
      <w:r>
        <w:rPr>
          <w:rFonts w:eastAsia="Times New Roman"/>
          <w:sz w:val="18"/>
          <w:szCs w:val="18"/>
        </w:rPr>
        <w:t>s.</w:t>
      </w:r>
      <w:r>
        <w:rPr>
          <w:rFonts w:eastAsia="Times New Roman"/>
          <w:sz w:val="18"/>
          <w:szCs w:val="18"/>
        </w:rPr>
        <w:t xml:space="preserve"> </w:t>
      </w:r>
    </w:p>
    <w:p w:rsidR="00000000" w:rsidRDefault="006D723D">
      <w:pPr>
        <w:pStyle w:val="a3"/>
        <w:spacing w:before="360" w:beforeAutospacing="0" w:after="0" w:afterAutospacing="0"/>
        <w:ind w:hanging="1220"/>
        <w:jc w:val="both"/>
        <w:rPr>
          <w:sz w:val="20"/>
          <w:szCs w:val="20"/>
        </w:rPr>
      </w:pPr>
      <w:r>
        <w:rPr>
          <w:b/>
          <w:bCs/>
          <w:sz w:val="20"/>
          <w:szCs w:val="20"/>
        </w:rPr>
        <w:t>ITEM 13. CERTAIN RELATIONSHIPS AND RELATE</w:t>
      </w:r>
      <w:r>
        <w:rPr>
          <w:b/>
          <w:bCs/>
          <w:sz w:val="20"/>
          <w:szCs w:val="20"/>
        </w:rPr>
        <w:t>D</w:t>
      </w:r>
      <w:r>
        <w:rPr>
          <w:b/>
          <w:bCs/>
          <w:sz w:val="20"/>
          <w:szCs w:val="20"/>
        </w:rPr>
        <w:t xml:space="preserve"> PARTY TRANSACTIONS AND DIRECTOR INDEPENDENCE</w:t>
      </w:r>
      <w:r>
        <w:rPr>
          <w:b/>
          <w:bCs/>
          <w:sz w:val="20"/>
          <w:szCs w:val="20"/>
        </w:rPr>
        <w:t>.</w:t>
      </w:r>
    </w:p>
    <w:p w:rsidR="00000000" w:rsidRDefault="006D723D">
      <w:pPr>
        <w:pStyle w:val="a3"/>
        <w:spacing w:before="120" w:beforeAutospacing="0" w:after="0" w:afterAutospacing="0"/>
        <w:jc w:val="both"/>
        <w:rPr>
          <w:sz w:val="20"/>
          <w:szCs w:val="20"/>
        </w:rPr>
      </w:pPr>
      <w:r>
        <w:rPr>
          <w:sz w:val="20"/>
          <w:szCs w:val="20"/>
        </w:rPr>
        <w:t>The information required by this Item 13 will appear in, and is hereby incorporated by reference from, the information under the heading "Corporate Governance – Ce</w:t>
      </w:r>
      <w:r>
        <w:rPr>
          <w:sz w:val="20"/>
          <w:szCs w:val="20"/>
        </w:rPr>
        <w:t>rtain Relationships and Related Party Transactions" and "Corporate Governance – Director Independence" in our definitive proxy statement for the 2023 Annual Meeting of Stockholders</w:t>
      </w:r>
      <w:r>
        <w:rPr>
          <w:sz w:val="20"/>
          <w:szCs w:val="20"/>
        </w:rPr>
        <w:t>.</w:t>
      </w:r>
    </w:p>
    <w:p w:rsidR="00000000" w:rsidRDefault="006D723D">
      <w:pPr>
        <w:pStyle w:val="a3"/>
        <w:spacing w:before="360" w:beforeAutospacing="0" w:after="0" w:afterAutospacing="0"/>
        <w:ind w:hanging="1220"/>
        <w:jc w:val="both"/>
        <w:rPr>
          <w:sz w:val="20"/>
          <w:szCs w:val="20"/>
        </w:rPr>
      </w:pPr>
      <w:r>
        <w:rPr>
          <w:b/>
          <w:bCs/>
          <w:sz w:val="20"/>
          <w:szCs w:val="20"/>
        </w:rPr>
        <w:t>ITEM 14. PRINCIPAL ACCO</w:t>
      </w:r>
      <w:r>
        <w:rPr>
          <w:b/>
          <w:bCs/>
          <w:sz w:val="20"/>
          <w:szCs w:val="20"/>
        </w:rPr>
        <w:t>U</w:t>
      </w:r>
      <w:r>
        <w:rPr>
          <w:b/>
          <w:bCs/>
          <w:sz w:val="20"/>
          <w:szCs w:val="20"/>
        </w:rPr>
        <w:t>NTING FEES AND SERVICES</w:t>
      </w:r>
      <w:r>
        <w:rPr>
          <w:b/>
          <w:bCs/>
          <w:sz w:val="20"/>
          <w:szCs w:val="20"/>
        </w:rPr>
        <w:t>.</w:t>
      </w:r>
    </w:p>
    <w:p w:rsidR="00000000" w:rsidRDefault="006D723D">
      <w:pPr>
        <w:pStyle w:val="a3"/>
        <w:spacing w:before="120" w:beforeAutospacing="0" w:after="0" w:afterAutospacing="0"/>
        <w:jc w:val="both"/>
        <w:rPr>
          <w:sz w:val="20"/>
          <w:szCs w:val="20"/>
        </w:rPr>
      </w:pPr>
      <w:r>
        <w:rPr>
          <w:sz w:val="20"/>
          <w:szCs w:val="20"/>
        </w:rPr>
        <w:t xml:space="preserve">The information required </w:t>
      </w:r>
      <w:r>
        <w:rPr>
          <w:sz w:val="20"/>
          <w:szCs w:val="20"/>
        </w:rPr>
        <w:t>by this Item 14 will appear in, and is hereby incorporated by reference from, the information under the heading "Proposal 2 – Non-Binding Ratification of Appointment of Independent Registered Public Accounting Firm" in our definitive proxy statement for th</w:t>
      </w:r>
      <w:r>
        <w:rPr>
          <w:sz w:val="20"/>
          <w:szCs w:val="20"/>
        </w:rPr>
        <w:t>e 2023 Annual Meeting of Stockholders</w:t>
      </w:r>
      <w:r>
        <w:rPr>
          <w:sz w:val="20"/>
          <w:szCs w:val="20"/>
        </w:rPr>
        <w:t>.</w:t>
      </w:r>
    </w:p>
    <w:p w:rsidR="00000000" w:rsidRDefault="006D723D">
      <w:pPr>
        <w:pStyle w:val="a3"/>
        <w:spacing w:before="240" w:beforeAutospacing="0" w:after="0" w:afterAutospacing="0"/>
        <w:jc w:val="center"/>
        <w:rPr>
          <w:sz w:val="20"/>
          <w:szCs w:val="20"/>
        </w:rPr>
      </w:pPr>
      <w:r>
        <w:rPr>
          <w:sz w:val="20"/>
          <w:szCs w:val="20"/>
        </w:rPr>
        <w:t>9</w:t>
      </w:r>
      <w:r>
        <w:rPr>
          <w:sz w:val="20"/>
          <w:szCs w:val="20"/>
        </w:rPr>
        <w:t>8</w:t>
      </w:r>
    </w:p>
    <w:p w:rsidR="00000000" w:rsidRDefault="006D723D">
      <w:pPr>
        <w:rPr>
          <w:rFonts w:eastAsia="Times New Roman"/>
        </w:rPr>
      </w:pPr>
      <w:r>
        <w:rPr>
          <w:rFonts w:eastAsia="Times New Roman"/>
        </w:rPr>
        <w:pict>
          <v:rect id="_x0000_i1122"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jc w:val="center"/>
        <w:rPr>
          <w:sz w:val="20"/>
          <w:szCs w:val="20"/>
        </w:rPr>
      </w:pPr>
      <w:r>
        <w:rPr>
          <w:b/>
          <w:bCs/>
          <w:sz w:val="20"/>
          <w:szCs w:val="20"/>
        </w:rPr>
        <w:t>PAR</w:t>
      </w:r>
      <w:r>
        <w:rPr>
          <w:b/>
          <w:bCs/>
          <w:sz w:val="20"/>
          <w:szCs w:val="20"/>
        </w:rPr>
        <w:t>T</w:t>
      </w:r>
      <w:r>
        <w:rPr>
          <w:b/>
          <w:bCs/>
          <w:sz w:val="20"/>
          <w:szCs w:val="20"/>
        </w:rPr>
        <w:t xml:space="preserve"> IV</w:t>
      </w:r>
      <w:r>
        <w:rPr>
          <w:b/>
          <w:bCs/>
          <w:sz w:val="20"/>
          <w:szCs w:val="20"/>
        </w:rPr>
        <w:t>.</w:t>
      </w:r>
    </w:p>
    <w:p w:rsidR="00000000" w:rsidRDefault="006D723D">
      <w:pPr>
        <w:pStyle w:val="a3"/>
        <w:spacing w:before="240" w:beforeAutospacing="0" w:after="0" w:afterAutospacing="0"/>
        <w:ind w:hanging="1220"/>
        <w:jc w:val="both"/>
        <w:rPr>
          <w:sz w:val="20"/>
          <w:szCs w:val="20"/>
        </w:rPr>
      </w:pPr>
      <w:r>
        <w:rPr>
          <w:b/>
          <w:bCs/>
          <w:sz w:val="20"/>
          <w:szCs w:val="20"/>
        </w:rPr>
        <w:t>ITEM 15. EXHIBITS AND FIN</w:t>
      </w:r>
      <w:r>
        <w:rPr>
          <w:b/>
          <w:bCs/>
          <w:sz w:val="20"/>
          <w:szCs w:val="20"/>
        </w:rPr>
        <w:t>A</w:t>
      </w:r>
      <w:r>
        <w:rPr>
          <w:b/>
          <w:bCs/>
          <w:sz w:val="20"/>
          <w:szCs w:val="20"/>
        </w:rPr>
        <w:t>NCIAL STATEMENT SCHEDULES</w:t>
      </w:r>
      <w:r>
        <w:rPr>
          <w:b/>
          <w:bCs/>
          <w:sz w:val="20"/>
          <w:szCs w:val="20"/>
        </w:rPr>
        <w:t>.</w:t>
      </w:r>
    </w:p>
    <w:p w:rsidR="00000000" w:rsidRDefault="006D723D">
      <w:pPr>
        <w:pStyle w:val="a3"/>
        <w:spacing w:before="120" w:beforeAutospacing="0" w:after="0" w:afterAutospacing="0"/>
        <w:jc w:val="both"/>
        <w:rPr>
          <w:sz w:val="20"/>
          <w:szCs w:val="20"/>
        </w:rPr>
      </w:pPr>
      <w:r>
        <w:rPr>
          <w:sz w:val="20"/>
          <w:szCs w:val="20"/>
        </w:rPr>
        <w:t>The following documents are filed as part of this Annual Report</w:t>
      </w:r>
      <w:r>
        <w:rPr>
          <w:sz w:val="20"/>
          <w:szCs w:val="20"/>
        </w:rPr>
        <w:t>:</w:t>
      </w:r>
    </w:p>
    <w:p w:rsidR="00000000" w:rsidRDefault="006D723D">
      <w:pPr>
        <w:jc w:val="both"/>
        <w:divId w:val="156308914"/>
        <w:rPr>
          <w:rFonts w:eastAsia="Times New Roman"/>
        </w:rPr>
      </w:pPr>
      <w:r>
        <w:rPr>
          <w:rFonts w:eastAsia="Times New Roman"/>
          <w:sz w:val="20"/>
          <w:szCs w:val="20"/>
        </w:rPr>
        <w:t>(1</w:t>
      </w:r>
      <w:r>
        <w:rPr>
          <w:rFonts w:eastAsia="Times New Roman"/>
          <w:sz w:val="20"/>
          <w:szCs w:val="20"/>
        </w:rPr>
        <w:t>)</w:t>
      </w:r>
    </w:p>
    <w:p w:rsidR="00000000" w:rsidRDefault="006D723D">
      <w:pPr>
        <w:jc w:val="both"/>
        <w:divId w:val="1180856778"/>
        <w:rPr>
          <w:rFonts w:eastAsia="Times New Roman"/>
        </w:rPr>
      </w:pPr>
      <w:r>
        <w:rPr>
          <w:rFonts w:eastAsia="Times New Roman"/>
          <w:sz w:val="20"/>
          <w:szCs w:val="20"/>
        </w:rPr>
        <w:t>Financial Statements</w:t>
      </w:r>
      <w:r>
        <w:rPr>
          <w:rFonts w:eastAsia="Times New Roman"/>
          <w:sz w:val="20"/>
          <w:szCs w:val="20"/>
        </w:rPr>
        <w:t>:</w:t>
      </w:r>
    </w:p>
    <w:p w:rsidR="00000000" w:rsidRDefault="006D723D">
      <w:pPr>
        <w:pStyle w:val="a3"/>
        <w:spacing w:before="120" w:beforeAutospacing="0" w:after="0" w:afterAutospacing="0"/>
        <w:ind w:left="1071"/>
        <w:jc w:val="both"/>
        <w:rPr>
          <w:sz w:val="20"/>
          <w:szCs w:val="20"/>
        </w:rPr>
      </w:pPr>
      <w:r>
        <w:rPr>
          <w:sz w:val="20"/>
          <w:szCs w:val="20"/>
        </w:rPr>
        <w:t>The financial statements as set forth under Item 8 of this Annual Report on Form 10-K have been filed herewith, beginning on page F-1 of this Annual Report</w:t>
      </w:r>
      <w:r>
        <w:rPr>
          <w:sz w:val="20"/>
          <w:szCs w:val="20"/>
        </w:rPr>
        <w:t>.</w:t>
      </w:r>
    </w:p>
    <w:p w:rsidR="00000000" w:rsidRDefault="006D723D">
      <w:pPr>
        <w:jc w:val="both"/>
        <w:divId w:val="1980105943"/>
        <w:rPr>
          <w:rFonts w:eastAsia="Times New Roman"/>
        </w:rPr>
      </w:pPr>
      <w:r>
        <w:rPr>
          <w:rFonts w:eastAsia="Times New Roman"/>
          <w:sz w:val="20"/>
          <w:szCs w:val="20"/>
        </w:rPr>
        <w:t>(2</w:t>
      </w:r>
      <w:r>
        <w:rPr>
          <w:rFonts w:eastAsia="Times New Roman"/>
          <w:sz w:val="20"/>
          <w:szCs w:val="20"/>
        </w:rPr>
        <w:t>)</w:t>
      </w:r>
    </w:p>
    <w:p w:rsidR="00000000" w:rsidRDefault="006D723D">
      <w:pPr>
        <w:jc w:val="both"/>
        <w:divId w:val="1443768379"/>
        <w:rPr>
          <w:rFonts w:eastAsia="Times New Roman"/>
        </w:rPr>
      </w:pPr>
      <w:r>
        <w:rPr>
          <w:rFonts w:eastAsia="Times New Roman"/>
          <w:sz w:val="20"/>
          <w:szCs w:val="20"/>
        </w:rPr>
        <w:t>Fina</w:t>
      </w:r>
      <w:r>
        <w:rPr>
          <w:rFonts w:eastAsia="Times New Roman"/>
          <w:sz w:val="20"/>
          <w:szCs w:val="20"/>
        </w:rPr>
        <w:t>ncial Statement Schedules:</w:t>
      </w:r>
      <w:r>
        <w:rPr>
          <w:rFonts w:eastAsia="Times New Roman"/>
          <w:sz w:val="20"/>
          <w:szCs w:val="20"/>
        </w:rPr>
        <w:t xml:space="preserve"> </w:t>
      </w:r>
    </w:p>
    <w:p w:rsidR="00000000" w:rsidRDefault="006D723D">
      <w:pPr>
        <w:pStyle w:val="a3"/>
        <w:spacing w:before="120" w:beforeAutospacing="0" w:after="0" w:afterAutospacing="0"/>
        <w:ind w:left="1071"/>
        <w:jc w:val="both"/>
        <w:rPr>
          <w:sz w:val="20"/>
          <w:szCs w:val="20"/>
        </w:rPr>
      </w:pPr>
      <w:r>
        <w:rPr>
          <w:sz w:val="20"/>
          <w:szCs w:val="20"/>
        </w:rPr>
        <w:t>Schedule III-Real Estate Assets and Accumulated Depreciation</w:t>
      </w:r>
      <w:r>
        <w:rPr>
          <w:sz w:val="20"/>
          <w:szCs w:val="20"/>
        </w:rPr>
        <w:t>.</w:t>
      </w:r>
    </w:p>
    <w:p w:rsidR="00000000" w:rsidRDefault="006D723D">
      <w:pPr>
        <w:pStyle w:val="a3"/>
        <w:spacing w:before="120" w:beforeAutospacing="0" w:after="0" w:afterAutospacing="0"/>
        <w:ind w:left="1071"/>
        <w:jc w:val="both"/>
        <w:rPr>
          <w:sz w:val="20"/>
          <w:szCs w:val="20"/>
        </w:rPr>
      </w:pPr>
      <w:r>
        <w:rPr>
          <w:sz w:val="20"/>
          <w:szCs w:val="20"/>
        </w:rPr>
        <w:t>Information with respect to this item begins on page F-41 of this Annual Report on Form 10-K. Other schedules are omitted because of the absence of conditions under w</w:t>
      </w:r>
      <w:r>
        <w:rPr>
          <w:sz w:val="20"/>
          <w:szCs w:val="20"/>
        </w:rPr>
        <w:t>hich they are required or because the required information is given in the financial statements or notes thereto</w:t>
      </w:r>
      <w:r>
        <w:rPr>
          <w:sz w:val="20"/>
          <w:szCs w:val="20"/>
        </w:rPr>
        <w:t>.</w:t>
      </w:r>
    </w:p>
    <w:p w:rsidR="00000000" w:rsidRDefault="006D723D">
      <w:pPr>
        <w:jc w:val="both"/>
        <w:divId w:val="1246695395"/>
        <w:rPr>
          <w:rFonts w:eastAsia="Times New Roman"/>
        </w:rPr>
      </w:pPr>
      <w:r>
        <w:rPr>
          <w:rFonts w:eastAsia="Times New Roman"/>
          <w:sz w:val="20"/>
          <w:szCs w:val="20"/>
        </w:rPr>
        <w:t>(3</w:t>
      </w:r>
      <w:r>
        <w:rPr>
          <w:rFonts w:eastAsia="Times New Roman"/>
          <w:sz w:val="20"/>
          <w:szCs w:val="20"/>
        </w:rPr>
        <w:t>)</w:t>
      </w:r>
    </w:p>
    <w:p w:rsidR="00000000" w:rsidRDefault="006D723D">
      <w:pPr>
        <w:jc w:val="both"/>
        <w:divId w:val="796341504"/>
        <w:rPr>
          <w:rFonts w:eastAsia="Times New Roman"/>
        </w:rPr>
      </w:pPr>
      <w:r>
        <w:rPr>
          <w:rFonts w:eastAsia="Times New Roman"/>
          <w:sz w:val="20"/>
          <w:szCs w:val="20"/>
        </w:rPr>
        <w:t>Exhibits</w:t>
      </w:r>
      <w:r>
        <w:rPr>
          <w:rFonts w:eastAsia="Times New Roman"/>
          <w:sz w:val="20"/>
          <w:szCs w:val="20"/>
        </w:rPr>
        <w:t>:</w:t>
      </w:r>
    </w:p>
    <w:p w:rsidR="00000000" w:rsidRDefault="006D723D">
      <w:pPr>
        <w:pStyle w:val="a3"/>
        <w:spacing w:before="120" w:beforeAutospacing="0" w:after="0" w:afterAutospacing="0"/>
        <w:ind w:left="1071"/>
        <w:jc w:val="both"/>
        <w:rPr>
          <w:sz w:val="20"/>
          <w:szCs w:val="20"/>
        </w:rPr>
      </w:pPr>
      <w:r>
        <w:rPr>
          <w:sz w:val="20"/>
          <w:szCs w:val="20"/>
        </w:rPr>
        <w:t xml:space="preserve">The following exhibits marked with an * are filed herewith. Exhibits marked with ** are furnished herewith. Other exhibits have </w:t>
      </w:r>
      <w:r>
        <w:rPr>
          <w:sz w:val="20"/>
          <w:szCs w:val="20"/>
        </w:rPr>
        <w:t>previously been filed with the Securities and Exchange Commission (the "Commission") and are incorporated herein by reference</w:t>
      </w:r>
      <w:r>
        <w:rPr>
          <w:sz w:val="20"/>
          <w:szCs w:val="20"/>
        </w:rPr>
        <w:t>:</w:t>
      </w:r>
    </w:p>
    <w:p w:rsidR="00000000" w:rsidRDefault="006D723D">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8"/>
        <w:gridCol w:w="150"/>
        <w:gridCol w:w="7368"/>
      </w:tblGrid>
      <w:tr w:rsidR="00000000">
        <w:trPr>
          <w:tblCellSpacing w:w="15" w:type="dxa"/>
        </w:trPr>
        <w:tc>
          <w:tcPr>
            <w:tcW w:w="454" w:type="pct"/>
            <w:vAlign w:val="center"/>
            <w:hideMark/>
          </w:tcPr>
          <w:p w:rsidR="00000000" w:rsidRDefault="006D723D">
            <w:pPr>
              <w:rPr>
                <w:sz w:val="20"/>
                <w:szCs w:val="20"/>
              </w:rPr>
            </w:pPr>
          </w:p>
        </w:tc>
        <w:tc>
          <w:tcPr>
            <w:tcW w:w="73" w:type="pct"/>
            <w:vAlign w:val="center"/>
            <w:hideMark/>
          </w:tcPr>
          <w:p w:rsidR="00000000" w:rsidRDefault="006D723D">
            <w:pPr>
              <w:rPr>
                <w:rFonts w:eastAsia="Times New Roman"/>
                <w:sz w:val="20"/>
                <w:szCs w:val="20"/>
              </w:rPr>
            </w:pPr>
          </w:p>
        </w:tc>
        <w:tc>
          <w:tcPr>
            <w:tcW w:w="4472" w:type="pct"/>
            <w:vAlign w:val="center"/>
            <w:hideMark/>
          </w:tcPr>
          <w:p w:rsidR="00000000" w:rsidRDefault="006D723D">
            <w:pPr>
              <w:rPr>
                <w:rFonts w:eastAsia="Times New Roman"/>
                <w:sz w:val="20"/>
                <w:szCs w:val="20"/>
              </w:rPr>
            </w:pP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3.</w:t>
            </w:r>
            <w:r>
              <w:rPr>
                <w:sz w:val="20"/>
                <w:szCs w:val="20"/>
              </w:rPr>
              <w:t>1</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4" w:history="1">
              <w:r>
                <w:rPr>
                  <w:rStyle w:val="a4"/>
                  <w:sz w:val="20"/>
                  <w:szCs w:val="20"/>
                </w:rPr>
                <w:t>Articles of Amendment and Restatement of the Compan</w:t>
              </w:r>
              <w:r>
                <w:rPr>
                  <w:rStyle w:val="a4"/>
                  <w:sz w:val="20"/>
                  <w:szCs w:val="20"/>
                </w:rPr>
                <w:t>y</w:t>
              </w:r>
            </w:hyperlink>
            <w:r>
              <w:rPr>
                <w:sz w:val="20"/>
                <w:szCs w:val="20"/>
              </w:rPr>
              <w:t> (previously filed as Exhibit 3.1 to the Company's Current Report on Form 8-K (Commission File no. 001-1</w:t>
            </w:r>
            <w:r>
              <w:rPr>
                <w:sz w:val="20"/>
                <w:szCs w:val="20"/>
              </w:rPr>
              <w:t>6109), filed with the Commission on May 20, 2013 and incorporated herein by this reference)</w:t>
            </w:r>
            <w:r>
              <w:rPr>
                <w:sz w:val="20"/>
                <w:szCs w:val="20"/>
              </w:rPr>
              <w:t>.</w:t>
            </w:r>
            <w:r>
              <w:rPr>
                <w:sz w:val="20"/>
                <w:szCs w:val="20"/>
              </w:rPr>
              <w:t xml:space="preserve"> </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3.</w:t>
            </w:r>
            <w:r>
              <w:rPr>
                <w:sz w:val="20"/>
                <w:szCs w:val="20"/>
              </w:rPr>
              <w:t>2</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5" w:history="1">
              <w:r>
                <w:rPr>
                  <w:rStyle w:val="a4"/>
                  <w:sz w:val="20"/>
                  <w:szCs w:val="20"/>
                </w:rPr>
                <w:t>Articles of Amendment of the Compan</w:t>
              </w:r>
              <w:r>
                <w:rPr>
                  <w:rStyle w:val="a4"/>
                  <w:sz w:val="20"/>
                  <w:szCs w:val="20"/>
                </w:rPr>
                <w:t>y</w:t>
              </w:r>
            </w:hyperlink>
            <w:r>
              <w:rPr>
                <w:sz w:val="20"/>
                <w:szCs w:val="20"/>
              </w:rPr>
              <w:t> </w:t>
            </w:r>
            <w:r>
              <w:rPr>
                <w:sz w:val="20"/>
                <w:szCs w:val="20"/>
              </w:rPr>
              <w:t>(previously filed as Exhibit 3.1 to the Company's Current Report on Form 8-K (Commission File no. 001-16109), filed with the Commission on November 10, 2016 and incorporated herein by this reference)</w:t>
            </w:r>
            <w:r>
              <w:rPr>
                <w:sz w:val="20"/>
                <w:szCs w:val="20"/>
              </w:rPr>
              <w:t>.</w:t>
            </w:r>
            <w:r>
              <w:rPr>
                <w:sz w:val="20"/>
                <w:szCs w:val="20"/>
              </w:rPr>
              <w:t xml:space="preserve"> </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3.</w:t>
            </w:r>
            <w:r>
              <w:rPr>
                <w:sz w:val="20"/>
                <w:szCs w:val="20"/>
              </w:rPr>
              <w:t>3</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20"/>
                <w:szCs w:val="20"/>
              </w:rPr>
            </w:pPr>
            <w:hyperlink r:id="rId6" w:history="1">
              <w:r>
                <w:rPr>
                  <w:rStyle w:val="a4"/>
                  <w:sz w:val="20"/>
                  <w:szCs w:val="20"/>
                </w:rPr>
                <w:t>Tenth Amended and Restated Bylaws of the Compan</w:t>
              </w:r>
              <w:r>
                <w:rPr>
                  <w:rStyle w:val="a4"/>
                  <w:sz w:val="20"/>
                  <w:szCs w:val="20"/>
                </w:rPr>
                <w:t>y</w:t>
              </w:r>
            </w:hyperlink>
            <w:r>
              <w:rPr>
                <w:sz w:val="20"/>
                <w:szCs w:val="20"/>
              </w:rPr>
              <w:t> (previously filed as Exhibit 3.1 to the Company's Current Report on Form 8-K (Commission File no. 001-16109</w:t>
            </w:r>
            <w:r>
              <w:rPr>
                <w:sz w:val="20"/>
                <w:szCs w:val="20"/>
              </w:rPr>
              <w:t>), filed with the Commission on December 16, 2022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4.</w:t>
            </w:r>
            <w:r>
              <w:rPr>
                <w:sz w:val="20"/>
                <w:szCs w:val="20"/>
              </w:rPr>
              <w:t>1</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7" w:history="1">
              <w:r>
                <w:rPr>
                  <w:rStyle w:val="a4"/>
                  <w:sz w:val="20"/>
                  <w:szCs w:val="20"/>
                </w:rPr>
                <w:t>Specimen of certificate representing shares of t</w:t>
              </w:r>
              <w:r>
                <w:rPr>
                  <w:rStyle w:val="a4"/>
                  <w:sz w:val="20"/>
                  <w:szCs w:val="20"/>
                </w:rPr>
                <w:t>he Company's Common Stoc</w:t>
              </w:r>
              <w:r>
                <w:rPr>
                  <w:rStyle w:val="a4"/>
                  <w:sz w:val="20"/>
                  <w:szCs w:val="20"/>
                </w:rPr>
                <w:t>k</w:t>
              </w:r>
            </w:hyperlink>
            <w:r>
              <w:rPr>
                <w:sz w:val="20"/>
                <w:szCs w:val="20"/>
              </w:rPr>
              <w:t> (previously filed as Exhibit 4.1 to the Company's Current Report on Form 8-K (Commission File no. 001-16109), filed with the Commission on November 10, 2016 and incorporated herein by this reference)</w:t>
            </w:r>
            <w:r>
              <w:rPr>
                <w:sz w:val="20"/>
                <w:szCs w:val="20"/>
              </w:rPr>
              <w:t>.</w:t>
            </w:r>
            <w:r>
              <w:rPr>
                <w:sz w:val="20"/>
                <w:szCs w:val="20"/>
              </w:rPr>
              <w:t xml:space="preserve"> </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4.</w:t>
            </w:r>
            <w:r>
              <w:rPr>
                <w:sz w:val="20"/>
                <w:szCs w:val="20"/>
              </w:rPr>
              <w:t>2</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8" w:history="1">
              <w:r>
                <w:rPr>
                  <w:rStyle w:val="a4"/>
                  <w:sz w:val="20"/>
                  <w:szCs w:val="20"/>
                </w:rPr>
                <w:t>Indenture (2023 Notes), dated as of April 4, 2013, by and among the Company, certain of its subsidiaries, and U.S. Bank National Association, as Truste</w:t>
              </w:r>
              <w:r>
                <w:rPr>
                  <w:rStyle w:val="a4"/>
                  <w:sz w:val="20"/>
                  <w:szCs w:val="20"/>
                </w:rPr>
                <w:t>e</w:t>
              </w:r>
            </w:hyperlink>
            <w:r>
              <w:rPr>
                <w:sz w:val="20"/>
                <w:szCs w:val="20"/>
              </w:rPr>
              <w:t> (previously filed</w:t>
            </w:r>
            <w:r>
              <w:rPr>
                <w:sz w:val="20"/>
                <w:szCs w:val="20"/>
              </w:rPr>
              <w:t xml:space="preserve"> as Exhibit 4.3 to the Company's Current Report on Form 8-K (Commission File no. 001-16109), filed with the Commission on April 8, 2013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4.</w:t>
            </w:r>
            <w:r>
              <w:rPr>
                <w:sz w:val="20"/>
                <w:szCs w:val="20"/>
              </w:rPr>
              <w:t>3</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9" w:history="1">
              <w:r>
                <w:rPr>
                  <w:rStyle w:val="a4"/>
                  <w:sz w:val="20"/>
                  <w:szCs w:val="20"/>
                </w:rPr>
                <w:t>Indenture (2022 Notes, 2026 Notes and 2027 Notes), dated as of September 25, 2015, by and between the Company and U.S. Bank National Association, as Truste</w:t>
              </w:r>
              <w:r>
                <w:rPr>
                  <w:rStyle w:val="a4"/>
                  <w:sz w:val="20"/>
                  <w:szCs w:val="20"/>
                </w:rPr>
                <w:t>e</w:t>
              </w:r>
            </w:hyperlink>
            <w:r>
              <w:rPr>
                <w:sz w:val="20"/>
                <w:szCs w:val="20"/>
              </w:rPr>
              <w:t> </w:t>
            </w:r>
            <w:r>
              <w:rPr>
                <w:sz w:val="20"/>
                <w:szCs w:val="20"/>
              </w:rPr>
              <w:t>(previously filed as Exhibit 4.1 to the Company's Current Report on Form 8-K (Commission File no. 001-16109), filed with the Commission on September 25, 2015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4.</w:t>
            </w:r>
            <w:r>
              <w:rPr>
                <w:sz w:val="20"/>
                <w:szCs w:val="20"/>
              </w:rPr>
              <w:t>4</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10" w:history="1">
              <w:r>
                <w:rPr>
                  <w:rStyle w:val="a4"/>
                  <w:sz w:val="20"/>
                  <w:szCs w:val="20"/>
                </w:rPr>
                <w:t>Form of 4.625% Senior Note due 202</w:t>
              </w:r>
              <w:r>
                <w:rPr>
                  <w:rStyle w:val="a4"/>
                  <w:sz w:val="20"/>
                  <w:szCs w:val="20"/>
                </w:rPr>
                <w:t>3</w:t>
              </w:r>
            </w:hyperlink>
            <w:r>
              <w:rPr>
                <w:sz w:val="20"/>
                <w:szCs w:val="20"/>
              </w:rPr>
              <w:t> (incorporated by reference to Exhibit A to Exhibit 4.2 hereof)</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4.</w:t>
            </w:r>
            <w:r>
              <w:rPr>
                <w:sz w:val="20"/>
                <w:szCs w:val="20"/>
              </w:rPr>
              <w:t>5</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11" w:history="1">
              <w:r>
                <w:rPr>
                  <w:rStyle w:val="a4"/>
                  <w:sz w:val="20"/>
                  <w:szCs w:val="20"/>
                </w:rPr>
                <w:t>Form of 5.00% Senior Note due 202</w:t>
              </w:r>
              <w:r>
                <w:rPr>
                  <w:rStyle w:val="a4"/>
                  <w:sz w:val="20"/>
                  <w:szCs w:val="20"/>
                </w:rPr>
                <w:t>2</w:t>
              </w:r>
            </w:hyperlink>
            <w:r>
              <w:rPr>
                <w:sz w:val="20"/>
                <w:szCs w:val="20"/>
              </w:rPr>
              <w:t> (incorporated by reference to Exhibit A to Exhibit 4.9 hereof)</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4.</w:t>
            </w:r>
            <w:r>
              <w:rPr>
                <w:sz w:val="20"/>
                <w:szCs w:val="20"/>
              </w:rPr>
              <w:t>6</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12" w:history="1">
              <w:r>
                <w:rPr>
                  <w:rStyle w:val="a4"/>
                  <w:sz w:val="20"/>
                  <w:szCs w:val="20"/>
                </w:rPr>
                <w:t>Form of 4.75% Senior Note due 202</w:t>
              </w:r>
              <w:r>
                <w:rPr>
                  <w:rStyle w:val="a4"/>
                  <w:sz w:val="20"/>
                  <w:szCs w:val="20"/>
                </w:rPr>
                <w:t>7</w:t>
              </w:r>
            </w:hyperlink>
            <w:r>
              <w:rPr>
                <w:sz w:val="20"/>
                <w:szCs w:val="20"/>
              </w:rPr>
              <w:t> (incorporated by reference to Exhibit A to Exhibit 4.10 hereof)</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4.</w:t>
            </w:r>
            <w:r>
              <w:rPr>
                <w:sz w:val="20"/>
                <w:szCs w:val="20"/>
              </w:rPr>
              <w:t>7</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20"/>
                <w:szCs w:val="20"/>
              </w:rPr>
            </w:pPr>
            <w:hyperlink r:id="rId13" w:history="1">
              <w:r>
                <w:rPr>
                  <w:rStyle w:val="a4"/>
                  <w:sz w:val="20"/>
                  <w:szCs w:val="20"/>
                </w:rPr>
                <w:t>Form of 8.25% Senior Note due 202</w:t>
              </w:r>
              <w:r>
                <w:rPr>
                  <w:rStyle w:val="a4"/>
                  <w:sz w:val="20"/>
                  <w:szCs w:val="20"/>
                </w:rPr>
                <w:t>6</w:t>
              </w:r>
            </w:hyperlink>
            <w:r>
              <w:rPr>
                <w:sz w:val="20"/>
                <w:szCs w:val="20"/>
              </w:rPr>
              <w:t> (incorporated by reference to Exhibit A to Exhibit 4.19 hereof)</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4.</w:t>
            </w:r>
            <w:r>
              <w:rPr>
                <w:sz w:val="20"/>
                <w:szCs w:val="20"/>
              </w:rPr>
              <w:t>8</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14" w:history="1">
              <w:r>
                <w:rPr>
                  <w:rStyle w:val="a4"/>
                  <w:sz w:val="20"/>
                  <w:szCs w:val="20"/>
                </w:rPr>
                <w:t>Supplemental Indenture (2023 Notes), dated as of September 4, 2013, by and among the Company, certain of its subsidiaries, and U.S. Bank National Association, as Truste</w:t>
              </w:r>
              <w:r>
                <w:rPr>
                  <w:rStyle w:val="a4"/>
                  <w:sz w:val="20"/>
                  <w:szCs w:val="20"/>
                </w:rPr>
                <w:t>e</w:t>
              </w:r>
            </w:hyperlink>
            <w:r>
              <w:rPr>
                <w:sz w:val="20"/>
                <w:szCs w:val="20"/>
              </w:rPr>
              <w:t> (previously filed as Exhibit 4.2 to the Company's Quarterly Repo</w:t>
            </w:r>
            <w:r>
              <w:rPr>
                <w:sz w:val="20"/>
                <w:szCs w:val="20"/>
              </w:rPr>
              <w:t>rt on Form 10-Q (Commission File no. 001-16109), filed with the Commission on November 7, 2013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bl>
    <w:p w:rsidR="00000000" w:rsidRDefault="006D723D">
      <w:pPr>
        <w:pStyle w:val="a3"/>
        <w:spacing w:before="240" w:beforeAutospacing="0" w:after="0" w:afterAutospacing="0"/>
        <w:jc w:val="center"/>
        <w:rPr>
          <w:sz w:val="20"/>
          <w:szCs w:val="20"/>
        </w:rPr>
      </w:pPr>
      <w:r>
        <w:rPr>
          <w:sz w:val="20"/>
          <w:szCs w:val="20"/>
        </w:rPr>
        <w:t>9</w:t>
      </w:r>
      <w:r>
        <w:rPr>
          <w:sz w:val="20"/>
          <w:szCs w:val="20"/>
        </w:rPr>
        <w:t>9</w:t>
      </w:r>
    </w:p>
    <w:p w:rsidR="00000000" w:rsidRDefault="006D723D">
      <w:pPr>
        <w:rPr>
          <w:rFonts w:eastAsia="Times New Roman"/>
        </w:rPr>
      </w:pPr>
      <w:r>
        <w:rPr>
          <w:rFonts w:eastAsia="Times New Roman"/>
        </w:rPr>
        <w:pict>
          <v:rect id="_x0000_i1123"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8"/>
        <w:gridCol w:w="150"/>
        <w:gridCol w:w="7368"/>
      </w:tblGrid>
      <w:tr w:rsidR="00000000">
        <w:trPr>
          <w:tblCellSpacing w:w="15" w:type="dxa"/>
        </w:trPr>
        <w:tc>
          <w:tcPr>
            <w:tcW w:w="454" w:type="pct"/>
            <w:vAlign w:val="center"/>
            <w:hideMark/>
          </w:tcPr>
          <w:p w:rsidR="00000000" w:rsidRDefault="006D723D">
            <w:pPr>
              <w:rPr>
                <w:sz w:val="20"/>
                <w:szCs w:val="20"/>
              </w:rPr>
            </w:pPr>
          </w:p>
        </w:tc>
        <w:tc>
          <w:tcPr>
            <w:tcW w:w="73" w:type="pct"/>
            <w:vAlign w:val="center"/>
            <w:hideMark/>
          </w:tcPr>
          <w:p w:rsidR="00000000" w:rsidRDefault="006D723D">
            <w:pPr>
              <w:rPr>
                <w:rFonts w:eastAsia="Times New Roman"/>
                <w:sz w:val="20"/>
                <w:szCs w:val="20"/>
              </w:rPr>
            </w:pPr>
          </w:p>
        </w:tc>
        <w:tc>
          <w:tcPr>
            <w:tcW w:w="4472" w:type="pct"/>
            <w:vAlign w:val="center"/>
            <w:hideMark/>
          </w:tcPr>
          <w:p w:rsidR="00000000" w:rsidRDefault="006D723D">
            <w:pPr>
              <w:rPr>
                <w:rFonts w:eastAsia="Times New Roman"/>
                <w:sz w:val="20"/>
                <w:szCs w:val="20"/>
              </w:rPr>
            </w:pP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4.</w:t>
            </w:r>
            <w:r>
              <w:rPr>
                <w:sz w:val="20"/>
                <w:szCs w:val="20"/>
              </w:rPr>
              <w:t>9</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15" w:history="1">
              <w:r>
                <w:rPr>
                  <w:rStyle w:val="a4"/>
                  <w:sz w:val="20"/>
                  <w:szCs w:val="20"/>
                </w:rPr>
                <w:t xml:space="preserve">First Supplemental Indenture (2022 Notes), dated as of September 25, 2015, by and among the Company, certain </w:t>
              </w:r>
              <w:r>
                <w:rPr>
                  <w:rStyle w:val="a4"/>
                  <w:sz w:val="20"/>
                  <w:szCs w:val="20"/>
                </w:rPr>
                <w:t>of its subsidiaries, and U.S. Bank National Association, as Truste</w:t>
              </w:r>
              <w:r>
                <w:rPr>
                  <w:rStyle w:val="a4"/>
                  <w:sz w:val="20"/>
                  <w:szCs w:val="20"/>
                </w:rPr>
                <w:t>e</w:t>
              </w:r>
            </w:hyperlink>
            <w:r>
              <w:rPr>
                <w:sz w:val="20"/>
                <w:szCs w:val="20"/>
              </w:rPr>
              <w:t> (previously filed as Exhibit 4.2 to the Company's Current Report on Form 8-K (Commission File no. 001-16109), filed with the Commission on September 25, 2015 and incorporated herein by thi</w:t>
            </w:r>
            <w:r>
              <w:rPr>
                <w:sz w:val="20"/>
                <w:szCs w:val="20"/>
              </w:rPr>
              <w:t>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4.1</w:t>
            </w:r>
            <w:r>
              <w:rPr>
                <w:sz w:val="20"/>
                <w:szCs w:val="20"/>
              </w:rPr>
              <w:t>0</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20"/>
                <w:szCs w:val="20"/>
              </w:rPr>
            </w:pPr>
            <w:hyperlink r:id="rId16" w:history="1">
              <w:r>
                <w:rPr>
                  <w:rStyle w:val="a4"/>
                  <w:sz w:val="20"/>
                  <w:szCs w:val="20"/>
                </w:rPr>
                <w:t>Second Supplemental Indenture (2027 Notes), dated as of October 13, 2017, by and among the Company, the Guarantors, and U.S. Bank National Association, as Truste</w:t>
              </w:r>
              <w:r>
                <w:rPr>
                  <w:rStyle w:val="a4"/>
                  <w:sz w:val="20"/>
                  <w:szCs w:val="20"/>
                </w:rPr>
                <w:t>e</w:t>
              </w:r>
            </w:hyperlink>
            <w:r>
              <w:rPr>
                <w:sz w:val="20"/>
                <w:szCs w:val="20"/>
              </w:rPr>
              <w:t> (previously filed as Exhibit 4.2 to the Company's Current Report on Form 8-K (Commission File</w:t>
            </w:r>
            <w:r>
              <w:rPr>
                <w:sz w:val="20"/>
                <w:szCs w:val="20"/>
              </w:rPr>
              <w:t xml:space="preserve"> no. 001-16109), filed with the Commission on October 13, 2017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 4.1</w:t>
            </w:r>
            <w:r>
              <w:rPr>
                <w:sz w:val="20"/>
                <w:szCs w:val="20"/>
              </w:rPr>
              <w:t>1</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17" w:history="1">
              <w:r>
                <w:rPr>
                  <w:rStyle w:val="a4"/>
                  <w:sz w:val="20"/>
                  <w:szCs w:val="20"/>
                </w:rPr>
                <w:t>Schedule of additional Supplemen</w:t>
              </w:r>
              <w:r>
                <w:rPr>
                  <w:rStyle w:val="a4"/>
                  <w:sz w:val="20"/>
                  <w:szCs w:val="20"/>
                </w:rPr>
                <w:t>tal Indentures (2023 Notes), relating to the Supplemental Indenture in Exhibit 4.7 hereo</w:t>
              </w:r>
              <w:r>
                <w:rPr>
                  <w:rStyle w:val="a4"/>
                  <w:sz w:val="20"/>
                  <w:szCs w:val="20"/>
                </w:rPr>
                <w:t>f</w:t>
              </w:r>
            </w:hyperlink>
            <w:r>
              <w:rPr>
                <w:sz w:val="20"/>
                <w:szCs w:val="20"/>
              </w:rPr>
              <w:t> (previously filed as Exhibit 4.12 to the Company's Annual Report on Form 10-K (Commission File no. 001-16109), filed with the Commission on February 25, 2016 and inco</w:t>
            </w:r>
            <w:r>
              <w:rPr>
                <w:sz w:val="20"/>
                <w:szCs w:val="20"/>
              </w:rPr>
              <w:t>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4.1</w:t>
            </w:r>
            <w:r>
              <w:rPr>
                <w:sz w:val="20"/>
                <w:szCs w:val="20"/>
              </w:rPr>
              <w:t>2</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18" w:history="1">
              <w:r>
                <w:rPr>
                  <w:rStyle w:val="a4"/>
                  <w:sz w:val="20"/>
                  <w:szCs w:val="20"/>
                </w:rPr>
                <w:t>Schedule of additional Supplemental Indentures (2022 Notes), relating to the Supplemental Indenture in E</w:t>
              </w:r>
              <w:r>
                <w:rPr>
                  <w:rStyle w:val="a4"/>
                  <w:sz w:val="20"/>
                  <w:szCs w:val="20"/>
                </w:rPr>
                <w:t>xhibit 4.8 hereo</w:t>
              </w:r>
              <w:r>
                <w:rPr>
                  <w:rStyle w:val="a4"/>
                  <w:sz w:val="20"/>
                  <w:szCs w:val="20"/>
                </w:rPr>
                <w:t>f</w:t>
              </w:r>
            </w:hyperlink>
            <w:r>
              <w:rPr>
                <w:sz w:val="20"/>
                <w:szCs w:val="20"/>
              </w:rPr>
              <w:t> (previously filed as Exhibit 4.13 to the Company's Annual Report on Form 10-K (Commission File no. 001-16109), filed with the Commission on February 25, 2016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4.1</w:t>
            </w:r>
            <w:r>
              <w:rPr>
                <w:sz w:val="20"/>
                <w:szCs w:val="20"/>
              </w:rPr>
              <w:t>3</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20"/>
                <w:szCs w:val="20"/>
              </w:rPr>
            </w:pPr>
            <w:hyperlink r:id="rId19" w:history="1">
              <w:r>
                <w:rPr>
                  <w:rStyle w:val="a4"/>
                  <w:sz w:val="20"/>
                  <w:szCs w:val="20"/>
                </w:rPr>
                <w:t>Supplemental Indenture (2023 Notes), dated as of January 7, 2019, by and among the Company, certain of its subsidiaries, and Regions Bank, successor-in-inte</w:t>
              </w:r>
              <w:r>
                <w:rPr>
                  <w:rStyle w:val="a4"/>
                  <w:sz w:val="20"/>
                  <w:szCs w:val="20"/>
                </w:rPr>
                <w:t>rest to U.S. Bank National Association, as Truste</w:t>
              </w:r>
              <w:r>
                <w:rPr>
                  <w:rStyle w:val="a4"/>
                  <w:sz w:val="20"/>
                  <w:szCs w:val="20"/>
                </w:rPr>
                <w:t>e</w:t>
              </w:r>
            </w:hyperlink>
            <w:r>
              <w:rPr>
                <w:sz w:val="20"/>
                <w:szCs w:val="20"/>
              </w:rPr>
              <w:t> (previously filed as Exhibit 4.2 to the Company's Quarterly Report on Form 10-Q (Commission File No. 001-16109), filed with the Commission on May 9, 2019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4.1</w:t>
            </w:r>
            <w:r>
              <w:rPr>
                <w:sz w:val="20"/>
                <w:szCs w:val="20"/>
              </w:rPr>
              <w:t>4</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20"/>
                <w:szCs w:val="20"/>
              </w:rPr>
            </w:pPr>
            <w:hyperlink r:id="rId20" w:history="1">
              <w:r>
                <w:rPr>
                  <w:rStyle w:val="a4"/>
                  <w:sz w:val="20"/>
                  <w:szCs w:val="20"/>
                </w:rPr>
                <w:t>Supplemental Indenture (2022 Notes), dated as of January 7, 2019, by and among the Company, certain of its subsidiaries, and Regions Bank, successor</w:t>
              </w:r>
              <w:r>
                <w:rPr>
                  <w:rStyle w:val="a4"/>
                  <w:sz w:val="20"/>
                  <w:szCs w:val="20"/>
                </w:rPr>
                <w:t>-in-interest to U.S. Bank National Association, as Truste</w:t>
              </w:r>
              <w:r>
                <w:rPr>
                  <w:rStyle w:val="a4"/>
                  <w:sz w:val="20"/>
                  <w:szCs w:val="20"/>
                </w:rPr>
                <w:t>e</w:t>
              </w:r>
            </w:hyperlink>
            <w:r>
              <w:rPr>
                <w:sz w:val="20"/>
                <w:szCs w:val="20"/>
              </w:rPr>
              <w:t xml:space="preserve"> </w:t>
            </w:r>
            <w:r>
              <w:rPr>
                <w:sz w:val="20"/>
                <w:szCs w:val="20"/>
              </w:rPr>
              <w:t>(previously filed as Exhibit 4.3 to the Company's Quarterly Report on Form 10-Q (Commission File No. 001-16109), filed with the Commission on May 9, 2019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4.1</w:t>
            </w:r>
            <w:r>
              <w:rPr>
                <w:sz w:val="20"/>
                <w:szCs w:val="20"/>
              </w:rPr>
              <w:t>5</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20"/>
                <w:szCs w:val="20"/>
              </w:rPr>
            </w:pPr>
            <w:hyperlink r:id="rId21" w:history="1">
              <w:r>
                <w:rPr>
                  <w:rStyle w:val="a4"/>
                  <w:sz w:val="20"/>
                  <w:szCs w:val="20"/>
                </w:rPr>
                <w:t>Supplemental Indenture (2027 Notes), dated as of January 7, 2019, by and among the Company, certain of its subsidiaries, and Regions Bank, s</w:t>
              </w:r>
              <w:r>
                <w:rPr>
                  <w:rStyle w:val="a4"/>
                  <w:sz w:val="20"/>
                  <w:szCs w:val="20"/>
                </w:rPr>
                <w:t>uccessor-in-interest to U.S. Bank National Association, as Truste</w:t>
              </w:r>
              <w:r>
                <w:rPr>
                  <w:rStyle w:val="a4"/>
                  <w:sz w:val="20"/>
                  <w:szCs w:val="20"/>
                </w:rPr>
                <w:t>e</w:t>
              </w:r>
            </w:hyperlink>
            <w:r>
              <w:rPr>
                <w:sz w:val="20"/>
                <w:szCs w:val="20"/>
              </w:rPr>
              <w:t> (previously filed as Exhibit 4.4 to the Company's Quarterly Report on Form 10-Q (Commission File No. 001-16109), filed with the Commission on May 9, 2019 and incorporated herein by this ref</w:t>
            </w:r>
            <w:r>
              <w:rPr>
                <w:sz w:val="20"/>
                <w:szCs w:val="20"/>
              </w:rPr>
              <w:t>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4.1</w:t>
            </w:r>
            <w:r>
              <w:rPr>
                <w:sz w:val="20"/>
                <w:szCs w:val="20"/>
              </w:rPr>
              <w:t>6</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20"/>
                <w:szCs w:val="20"/>
              </w:rPr>
            </w:pPr>
            <w:hyperlink r:id="rId22" w:history="1">
              <w:r>
                <w:rPr>
                  <w:rStyle w:val="a4"/>
                  <w:sz w:val="20"/>
                  <w:szCs w:val="20"/>
                </w:rPr>
                <w:t>Supplemental Indenture (2023 Notes), dated as of February 3, 2020, by and among the Company, certain of its subsidiaries, and Regions Bank, successor-in-interest to U.S. Bank National Association, as Truste</w:t>
              </w:r>
              <w:r>
                <w:rPr>
                  <w:rStyle w:val="a4"/>
                  <w:sz w:val="20"/>
                  <w:szCs w:val="20"/>
                </w:rPr>
                <w:t>e</w:t>
              </w:r>
            </w:hyperlink>
            <w:r>
              <w:rPr>
                <w:sz w:val="20"/>
                <w:szCs w:val="20"/>
              </w:rPr>
              <w:t> (previously filed as Exhibit 4.1 to the Company'</w:t>
            </w:r>
            <w:r>
              <w:rPr>
                <w:sz w:val="20"/>
                <w:szCs w:val="20"/>
              </w:rPr>
              <w:t>s Quarterly Report on Form 10-Q (Commission File No. 001-16109), filed with the Commission on May 7, 2020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4.1</w:t>
            </w:r>
            <w:r>
              <w:rPr>
                <w:sz w:val="20"/>
                <w:szCs w:val="20"/>
              </w:rPr>
              <w:t>7</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20"/>
                <w:szCs w:val="20"/>
              </w:rPr>
            </w:pPr>
            <w:hyperlink r:id="rId23" w:history="1">
              <w:r>
                <w:rPr>
                  <w:rStyle w:val="a4"/>
                  <w:sz w:val="20"/>
                  <w:szCs w:val="20"/>
                </w:rPr>
                <w:t>Supplemental Indenture (2022 Notes), dated as of February 3, 2020, by and among the Company, certain of its subsidiaries, and Regions Bank, successor-in-interest to U.S. Bank National Association, as Truste</w:t>
              </w:r>
              <w:r>
                <w:rPr>
                  <w:rStyle w:val="a4"/>
                  <w:sz w:val="20"/>
                  <w:szCs w:val="20"/>
                </w:rPr>
                <w:t>e</w:t>
              </w:r>
            </w:hyperlink>
            <w:r>
              <w:rPr>
                <w:sz w:val="20"/>
                <w:szCs w:val="20"/>
              </w:rPr>
              <w:t> (previously filed as Exhibit 4.2 to the</w:t>
            </w:r>
            <w:r>
              <w:rPr>
                <w:sz w:val="20"/>
                <w:szCs w:val="20"/>
              </w:rPr>
              <w:t xml:space="preserve"> Company's Quarterly Report on Form 10-Q (Commission File No. 001-16109), filed with the Commission on May 7, 2020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4.1</w:t>
            </w:r>
            <w:r>
              <w:rPr>
                <w:sz w:val="20"/>
                <w:szCs w:val="20"/>
              </w:rPr>
              <w:t>8</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20"/>
                <w:szCs w:val="20"/>
              </w:rPr>
            </w:pPr>
            <w:hyperlink r:id="rId24" w:history="1">
              <w:r>
                <w:rPr>
                  <w:rStyle w:val="a4"/>
                  <w:sz w:val="20"/>
                  <w:szCs w:val="20"/>
                </w:rPr>
                <w:t>Supplemental Indenture (2027 Notes), dated as of February 3, 2020, by and among the Company, certain of its subsidiaries, and Regions Bank, successor-in-interest to U.S. Bank National Association, as Truste</w:t>
              </w:r>
              <w:r>
                <w:rPr>
                  <w:rStyle w:val="a4"/>
                  <w:sz w:val="20"/>
                  <w:szCs w:val="20"/>
                </w:rPr>
                <w:t>e</w:t>
              </w:r>
            </w:hyperlink>
            <w:r>
              <w:rPr>
                <w:sz w:val="20"/>
                <w:szCs w:val="20"/>
              </w:rPr>
              <w:t> (previously filed as Exhibit 4</w:t>
            </w:r>
            <w:r>
              <w:rPr>
                <w:sz w:val="20"/>
                <w:szCs w:val="20"/>
              </w:rPr>
              <w:t>.3 to the Company's Quarterly Report on Form 10-Q (Commission File No. 001-16109), filed with the Commission on May 7, 2020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4.1</w:t>
            </w:r>
            <w:r>
              <w:rPr>
                <w:sz w:val="20"/>
                <w:szCs w:val="20"/>
              </w:rPr>
              <w:t>9</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20"/>
                <w:szCs w:val="20"/>
              </w:rPr>
            </w:pPr>
            <w:hyperlink r:id="rId25" w:history="1">
              <w:r>
                <w:rPr>
                  <w:rStyle w:val="a4"/>
                  <w:sz w:val="20"/>
                  <w:szCs w:val="20"/>
                </w:rPr>
                <w:t>Third Supplemental Indenture (2026 Notes), dated as of April 14, 2021, by and among the Company, certain of its subsidiaries, and Regions Bank, succes</w:t>
              </w:r>
              <w:r>
                <w:rPr>
                  <w:rStyle w:val="a4"/>
                  <w:sz w:val="20"/>
                  <w:szCs w:val="20"/>
                </w:rPr>
                <w:t>sor-in-interest to U.S. Bank National Association, as Truste</w:t>
              </w:r>
              <w:r>
                <w:rPr>
                  <w:rStyle w:val="a4"/>
                  <w:sz w:val="20"/>
                  <w:szCs w:val="20"/>
                </w:rPr>
                <w:t>e</w:t>
              </w:r>
            </w:hyperlink>
            <w:r>
              <w:rPr>
                <w:sz w:val="20"/>
                <w:szCs w:val="20"/>
              </w:rPr>
              <w:t> (previously filed as Exhibit 4.2 to the Company's Current Report on Form 8-K (Commission File No. 001-16109), filed with the Commission on April 14, 2021 and incorporated herein by this referenc</w:t>
            </w:r>
            <w:r>
              <w:rPr>
                <w:sz w:val="20"/>
                <w:szCs w:val="20"/>
              </w:rPr>
              <w:t>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4.2</w:t>
            </w:r>
            <w:r>
              <w:rPr>
                <w:sz w:val="20"/>
                <w:szCs w:val="20"/>
              </w:rPr>
              <w:t>0</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20"/>
                <w:szCs w:val="20"/>
              </w:rPr>
            </w:pPr>
            <w:hyperlink r:id="rId26" w:history="1">
              <w:r>
                <w:rPr>
                  <w:rStyle w:val="a4"/>
                  <w:sz w:val="20"/>
                  <w:szCs w:val="20"/>
                </w:rPr>
                <w:t xml:space="preserve">Fourth Supplemental Indenture (2026 Notes), dated as of September 29, 2021, by and among the Company, certain of its subsidiaries, </w:t>
              </w:r>
              <w:r>
                <w:rPr>
                  <w:rStyle w:val="a4"/>
                  <w:sz w:val="20"/>
                  <w:szCs w:val="20"/>
                </w:rPr>
                <w:t>and Regions Bank, successor-in-interest to U.S. Bank National Association, as Truste</w:t>
              </w:r>
              <w:r>
                <w:rPr>
                  <w:rStyle w:val="a4"/>
                  <w:sz w:val="20"/>
                  <w:szCs w:val="20"/>
                </w:rPr>
                <w:t>e</w:t>
              </w:r>
            </w:hyperlink>
            <w:r>
              <w:rPr>
                <w:sz w:val="20"/>
                <w:szCs w:val="20"/>
              </w:rPr>
              <w:t> (previously filed as Exhibit 4.3 to the Company's Current Report on Form 8-K (Commission File No. 001-16109), filed with the Commission on September 19, 2021 and incorpor</w:t>
            </w:r>
            <w:r>
              <w:rPr>
                <w:sz w:val="20"/>
                <w:szCs w:val="20"/>
              </w:rPr>
              <w:t>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bl>
    <w:p w:rsidR="00000000" w:rsidRDefault="006D723D">
      <w:pPr>
        <w:pStyle w:val="a3"/>
        <w:spacing w:before="240" w:beforeAutospacing="0" w:after="0" w:afterAutospacing="0"/>
        <w:jc w:val="center"/>
        <w:rPr>
          <w:sz w:val="20"/>
          <w:szCs w:val="20"/>
        </w:rPr>
      </w:pPr>
      <w:r>
        <w:rPr>
          <w:sz w:val="20"/>
          <w:szCs w:val="20"/>
        </w:rPr>
        <w:t>10</w:t>
      </w:r>
      <w:r>
        <w:rPr>
          <w:sz w:val="20"/>
          <w:szCs w:val="20"/>
        </w:rPr>
        <w:t>0</w:t>
      </w:r>
    </w:p>
    <w:p w:rsidR="00000000" w:rsidRDefault="006D723D">
      <w:pPr>
        <w:rPr>
          <w:rFonts w:eastAsia="Times New Roman"/>
        </w:rPr>
      </w:pPr>
      <w:r>
        <w:rPr>
          <w:rFonts w:eastAsia="Times New Roman"/>
        </w:rPr>
        <w:pict>
          <v:rect id="_x0000_i1124"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8"/>
        <w:gridCol w:w="150"/>
        <w:gridCol w:w="7368"/>
      </w:tblGrid>
      <w:tr w:rsidR="00000000">
        <w:trPr>
          <w:tblCellSpacing w:w="15" w:type="dxa"/>
        </w:trPr>
        <w:tc>
          <w:tcPr>
            <w:tcW w:w="454" w:type="pct"/>
            <w:vAlign w:val="center"/>
            <w:hideMark/>
          </w:tcPr>
          <w:p w:rsidR="00000000" w:rsidRDefault="006D723D">
            <w:pPr>
              <w:rPr>
                <w:sz w:val="20"/>
                <w:szCs w:val="20"/>
              </w:rPr>
            </w:pPr>
          </w:p>
        </w:tc>
        <w:tc>
          <w:tcPr>
            <w:tcW w:w="73" w:type="pct"/>
            <w:vAlign w:val="center"/>
            <w:hideMark/>
          </w:tcPr>
          <w:p w:rsidR="00000000" w:rsidRDefault="006D723D">
            <w:pPr>
              <w:rPr>
                <w:rFonts w:eastAsia="Times New Roman"/>
                <w:sz w:val="20"/>
                <w:szCs w:val="20"/>
              </w:rPr>
            </w:pPr>
          </w:p>
        </w:tc>
        <w:tc>
          <w:tcPr>
            <w:tcW w:w="4472" w:type="pct"/>
            <w:vAlign w:val="center"/>
            <w:hideMark/>
          </w:tcPr>
          <w:p w:rsidR="00000000" w:rsidRDefault="006D723D">
            <w:pPr>
              <w:rPr>
                <w:rFonts w:eastAsia="Times New Roman"/>
                <w:sz w:val="20"/>
                <w:szCs w:val="20"/>
              </w:rPr>
            </w:pP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4.2</w:t>
            </w:r>
            <w:r>
              <w:rPr>
                <w:sz w:val="20"/>
                <w:szCs w:val="20"/>
              </w:rPr>
              <w:t>1</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20"/>
                <w:szCs w:val="20"/>
              </w:rPr>
            </w:pPr>
            <w:hyperlink r:id="rId27" w:history="1">
              <w:r>
                <w:rPr>
                  <w:rStyle w:val="a4"/>
                  <w:sz w:val="20"/>
                  <w:szCs w:val="20"/>
                </w:rPr>
                <w:t>Description of Securities of CoreCivic, Inc</w:t>
              </w:r>
              <w:r>
                <w:rPr>
                  <w:rStyle w:val="a4"/>
                  <w:sz w:val="20"/>
                  <w:szCs w:val="20"/>
                </w:rPr>
                <w:t>.</w:t>
              </w:r>
            </w:hyperlink>
            <w:r>
              <w:rPr>
                <w:sz w:val="20"/>
                <w:szCs w:val="20"/>
                <w:u w:val="single"/>
              </w:rPr>
              <w:t xml:space="preserve"> </w:t>
            </w:r>
            <w:r>
              <w:rPr>
                <w:sz w:val="20"/>
                <w:szCs w:val="20"/>
              </w:rPr>
              <w:t>(previously filed as Exhibit 4.15 to the Company's Annual Report on Form 10-K (Commission File no. 001-16109),</w:t>
            </w:r>
            <w:r>
              <w:rPr>
                <w:sz w:val="20"/>
                <w:szCs w:val="20"/>
              </w:rPr>
              <w:t xml:space="preserve"> filed with the Commission on February 20, 2020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10.</w:t>
            </w:r>
            <w:r>
              <w:rPr>
                <w:sz w:val="20"/>
                <w:szCs w:val="20"/>
              </w:rPr>
              <w:t>1</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20"/>
                <w:szCs w:val="20"/>
              </w:rPr>
            </w:pPr>
            <w:hyperlink r:id="rId28" w:history="1">
              <w:r>
                <w:rPr>
                  <w:rStyle w:val="a4"/>
                  <w:sz w:val="20"/>
                  <w:szCs w:val="20"/>
                </w:rPr>
                <w:t>Third Amended and Restated Credit Agreemen</w:t>
              </w:r>
              <w:r>
                <w:rPr>
                  <w:rStyle w:val="a4"/>
                  <w:sz w:val="20"/>
                  <w:szCs w:val="20"/>
                </w:rPr>
                <w:t>t, dated May 12, 202</w:t>
              </w:r>
              <w:r>
                <w:rPr>
                  <w:rStyle w:val="a4"/>
                  <w:sz w:val="20"/>
                  <w:szCs w:val="20"/>
                </w:rPr>
                <w:t>2</w:t>
              </w:r>
            </w:hyperlink>
            <w:r>
              <w:rPr>
                <w:sz w:val="20"/>
                <w:szCs w:val="20"/>
              </w:rPr>
              <w:t> (previously filed as Exhibit 10.1 to the Company's Current Report on Form 8-K (Commission File no. 001-16109), filed with the Commission on May 13, 2022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10.</w:t>
            </w:r>
            <w:r>
              <w:rPr>
                <w:sz w:val="20"/>
                <w:szCs w:val="20"/>
              </w:rPr>
              <w:t>2</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20"/>
                <w:szCs w:val="20"/>
              </w:rPr>
            </w:pPr>
            <w:hyperlink r:id="rId29" w:history="1">
              <w:r>
                <w:rPr>
                  <w:rStyle w:val="a4"/>
                  <w:sz w:val="20"/>
                  <w:szCs w:val="20"/>
                </w:rPr>
                <w:t>Second Amended and Restated Credit Agreement, dated as of April 17, 201</w:t>
              </w:r>
              <w:r>
                <w:rPr>
                  <w:rStyle w:val="a4"/>
                  <w:sz w:val="20"/>
                  <w:szCs w:val="20"/>
                </w:rPr>
                <w:t>8</w:t>
              </w:r>
            </w:hyperlink>
            <w:r>
              <w:rPr>
                <w:sz w:val="20"/>
                <w:szCs w:val="20"/>
              </w:rPr>
              <w:t> </w:t>
            </w:r>
            <w:r>
              <w:rPr>
                <w:sz w:val="20"/>
                <w:szCs w:val="20"/>
              </w:rPr>
              <w:t>(previously filed as Exhibit 10.1 to the Company's Current Report on Form 8-K (Commission File no. 001-16109), filed with the Commission on April 18, 2018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10.</w:t>
            </w:r>
            <w:r>
              <w:rPr>
                <w:sz w:val="20"/>
                <w:szCs w:val="20"/>
              </w:rPr>
              <w:t>3</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20"/>
                <w:szCs w:val="20"/>
              </w:rPr>
            </w:pPr>
            <w:hyperlink r:id="rId30" w:history="1">
              <w:r>
                <w:rPr>
                  <w:rStyle w:val="a4"/>
                  <w:sz w:val="20"/>
                  <w:szCs w:val="20"/>
                </w:rPr>
                <w:t>First Amendment to Second Amended and Restated Credit Agreement, dated August 4, 2020, to the Second Amended and Restated Credit Agreement, dated as of April 17, 201</w:t>
              </w:r>
              <w:r>
                <w:rPr>
                  <w:rStyle w:val="a4"/>
                  <w:sz w:val="20"/>
                  <w:szCs w:val="20"/>
                </w:rPr>
                <w:t>8</w:t>
              </w:r>
            </w:hyperlink>
            <w:r>
              <w:rPr>
                <w:sz w:val="20"/>
                <w:szCs w:val="20"/>
                <w:u w:val="single"/>
              </w:rPr>
              <w:t xml:space="preserve"> </w:t>
            </w:r>
            <w:r>
              <w:rPr>
                <w:sz w:val="20"/>
                <w:szCs w:val="20"/>
              </w:rPr>
              <w:t>(previously filed as Exhibit 10</w:t>
            </w:r>
            <w:r>
              <w:rPr>
                <w:sz w:val="20"/>
                <w:szCs w:val="20"/>
              </w:rPr>
              <w:t>.2 to the Company's Current Report on Form 8-K (Commission File no. 001-16109), filed with the Commission on August 5, 2020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10.</w:t>
            </w:r>
            <w:r>
              <w:rPr>
                <w:sz w:val="20"/>
                <w:szCs w:val="20"/>
              </w:rPr>
              <w:t>4</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31" w:history="1">
              <w:r>
                <w:rPr>
                  <w:rStyle w:val="a4"/>
                  <w:sz w:val="20"/>
                  <w:szCs w:val="20"/>
                </w:rPr>
                <w:t>The Company's Non-Employee Directors' Compensation Pla</w:t>
              </w:r>
              <w:r>
                <w:rPr>
                  <w:rStyle w:val="a4"/>
                  <w:sz w:val="20"/>
                  <w:szCs w:val="20"/>
                </w:rPr>
                <w:t>n</w:t>
              </w:r>
            </w:hyperlink>
            <w:r>
              <w:rPr>
                <w:sz w:val="20"/>
                <w:szCs w:val="20"/>
              </w:rPr>
              <w:t xml:space="preserve"> (previously filed as Appendix C to the Company's definitive Proxy Statement relating to its Annual Meeting of Stockholders (Commission File no. 001-16109), filed with the </w:t>
            </w:r>
            <w:r>
              <w:rPr>
                <w:sz w:val="20"/>
                <w:szCs w:val="20"/>
              </w:rPr>
              <w:t>Commission on April 11, 2003 and incorporated herein by this reference)</w:t>
            </w:r>
            <w:r>
              <w:rPr>
                <w:sz w:val="20"/>
                <w:szCs w:val="20"/>
              </w:rPr>
              <w:t>.</w:t>
            </w:r>
          </w:p>
        </w:tc>
      </w:tr>
      <w:tr w:rsidR="00000000">
        <w:trPr>
          <w:trHeight w:val="120"/>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10.</w:t>
            </w:r>
            <w:r>
              <w:rPr>
                <w:sz w:val="20"/>
                <w:szCs w:val="20"/>
              </w:rPr>
              <w:t>5</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32" w:history="1">
              <w:r>
                <w:rPr>
                  <w:rStyle w:val="a4"/>
                  <w:sz w:val="20"/>
                  <w:szCs w:val="20"/>
                </w:rPr>
                <w:t>Form of Executive Non-qualified Stock Option Agreement for the Company's 2008 Stock Incentive Pla</w:t>
              </w:r>
              <w:r>
                <w:rPr>
                  <w:rStyle w:val="a4"/>
                  <w:sz w:val="20"/>
                  <w:szCs w:val="20"/>
                </w:rPr>
                <w:t>n</w:t>
              </w:r>
            </w:hyperlink>
            <w:r>
              <w:rPr>
                <w:sz w:val="20"/>
                <w:szCs w:val="20"/>
              </w:rPr>
              <w:t> (previously filed as Exhibit 10.2 to the Company's Curre</w:t>
            </w:r>
            <w:r>
              <w:rPr>
                <w:sz w:val="20"/>
                <w:szCs w:val="20"/>
              </w:rPr>
              <w:t>nt Report on Form 8-K (Commission File no. 001-16109), filed with the Commission on February 21, 2008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10.</w:t>
            </w:r>
            <w:r>
              <w:rPr>
                <w:sz w:val="20"/>
                <w:szCs w:val="20"/>
              </w:rPr>
              <w:t>6</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33" w:history="1">
              <w:r>
                <w:rPr>
                  <w:rStyle w:val="a4"/>
                  <w:sz w:val="20"/>
                  <w:szCs w:val="20"/>
                </w:rPr>
                <w:t>Amended Form of Executive Non-qualified Stock Option Agreement for the Company's 2008 Stock Incentive Pla</w:t>
              </w:r>
              <w:r>
                <w:rPr>
                  <w:rStyle w:val="a4"/>
                  <w:sz w:val="20"/>
                  <w:szCs w:val="20"/>
                </w:rPr>
                <w:t>n</w:t>
              </w:r>
            </w:hyperlink>
            <w:r>
              <w:rPr>
                <w:sz w:val="20"/>
                <w:szCs w:val="20"/>
              </w:rPr>
              <w:t> (previously filed as Exhibit 10.2 to the Company's Current Report on Form 8-K (Commission File no. 001-16109), filed with the Commission on Feb</w:t>
            </w:r>
            <w:r>
              <w:rPr>
                <w:sz w:val="20"/>
                <w:szCs w:val="20"/>
              </w:rPr>
              <w:t>ruary 23, 2009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10.</w:t>
            </w:r>
            <w:r>
              <w:rPr>
                <w:sz w:val="20"/>
                <w:szCs w:val="20"/>
              </w:rPr>
              <w:t>7</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34" w:history="1">
              <w:r>
                <w:rPr>
                  <w:rStyle w:val="a4"/>
                  <w:sz w:val="20"/>
                  <w:szCs w:val="20"/>
                </w:rPr>
                <w:t>Form of Director Non-qualified Stock Option Agreement for the Company's 2008 Stoc</w:t>
              </w:r>
              <w:r>
                <w:rPr>
                  <w:rStyle w:val="a4"/>
                  <w:sz w:val="20"/>
                  <w:szCs w:val="20"/>
                </w:rPr>
                <w:t>k Incentive Pla</w:t>
              </w:r>
              <w:r>
                <w:rPr>
                  <w:rStyle w:val="a4"/>
                  <w:sz w:val="20"/>
                  <w:szCs w:val="20"/>
                </w:rPr>
                <w:t>n</w:t>
              </w:r>
            </w:hyperlink>
            <w:r>
              <w:rPr>
                <w:sz w:val="20"/>
                <w:szCs w:val="20"/>
              </w:rPr>
              <w:t> (previously filed as Exhibit 10.3 to the Company's Current Report on Form 8-K (Commission File no. 001-16109), filed with the Commission on February 21, 2008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10.</w:t>
            </w:r>
            <w:r>
              <w:rPr>
                <w:sz w:val="20"/>
                <w:szCs w:val="20"/>
              </w:rPr>
              <w:t>8</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35" w:history="1">
              <w:r>
                <w:rPr>
                  <w:rStyle w:val="a4"/>
                  <w:sz w:val="20"/>
                  <w:szCs w:val="20"/>
                </w:rPr>
                <w:t>The Company's Amended and Restated 2008 Stock Incentive Pla</w:t>
              </w:r>
              <w:r>
                <w:rPr>
                  <w:rStyle w:val="a4"/>
                  <w:sz w:val="20"/>
                  <w:szCs w:val="20"/>
                </w:rPr>
                <w:t>n</w:t>
              </w:r>
            </w:hyperlink>
            <w:r>
              <w:rPr>
                <w:sz w:val="20"/>
                <w:szCs w:val="20"/>
              </w:rPr>
              <w:t> (previously filed as Exhibit 10.1 of the Company's Current Report on Form 8-K (Commission File</w:t>
            </w:r>
            <w:r>
              <w:rPr>
                <w:sz w:val="20"/>
                <w:szCs w:val="20"/>
              </w:rPr>
              <w:t xml:space="preserve"> no. 001-16109), filed with the Commission on May 17, 2011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10.</w:t>
            </w:r>
            <w:r>
              <w:rPr>
                <w:sz w:val="20"/>
                <w:szCs w:val="20"/>
              </w:rPr>
              <w:t>9</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36" w:history="1">
              <w:r>
                <w:rPr>
                  <w:rStyle w:val="a4"/>
                  <w:sz w:val="20"/>
                  <w:szCs w:val="20"/>
                </w:rPr>
                <w:t>Form of Executive Restricted Stock Un</w:t>
              </w:r>
              <w:r>
                <w:rPr>
                  <w:rStyle w:val="a4"/>
                  <w:sz w:val="20"/>
                  <w:szCs w:val="20"/>
                </w:rPr>
                <w:t>it Award Agreement for the Company's Amended and Restated 2008 Stock Incentive Pla</w:t>
              </w:r>
              <w:r>
                <w:rPr>
                  <w:rStyle w:val="a4"/>
                  <w:sz w:val="20"/>
                  <w:szCs w:val="20"/>
                </w:rPr>
                <w:t>n</w:t>
              </w:r>
            </w:hyperlink>
            <w:r>
              <w:rPr>
                <w:sz w:val="20"/>
                <w:szCs w:val="20"/>
              </w:rPr>
              <w:t xml:space="preserve"> (previously filed as Exhibit 10.1 to the Company's Current Report on Form 8-K (Commission File no. 001-16109), filed with the Commission on March 21, 2012 and incorporated </w:t>
            </w:r>
            <w:r>
              <w:rPr>
                <w:sz w:val="20"/>
                <w:szCs w:val="20"/>
              </w:rPr>
              <w:t>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10.1</w:t>
            </w:r>
            <w:r>
              <w:rPr>
                <w:sz w:val="20"/>
                <w:szCs w:val="20"/>
              </w:rPr>
              <w:t>0</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37" w:history="1">
              <w:r>
                <w:rPr>
                  <w:rStyle w:val="a4"/>
                  <w:sz w:val="20"/>
                  <w:szCs w:val="20"/>
                </w:rPr>
                <w:t xml:space="preserve">Form of Non-Employee Directors Restricted Stock Unit Award Agreement with deferral provisions for the Company's </w:t>
              </w:r>
              <w:r>
                <w:rPr>
                  <w:rStyle w:val="a4"/>
                  <w:sz w:val="20"/>
                  <w:szCs w:val="20"/>
                </w:rPr>
                <w:t>Amended and Restated 2008 Stock Incentive Pla</w:t>
              </w:r>
              <w:r>
                <w:rPr>
                  <w:rStyle w:val="a4"/>
                  <w:sz w:val="20"/>
                  <w:szCs w:val="20"/>
                </w:rPr>
                <w:t>n</w:t>
              </w:r>
            </w:hyperlink>
            <w:r>
              <w:rPr>
                <w:sz w:val="20"/>
                <w:szCs w:val="20"/>
              </w:rPr>
              <w:t> (previously filed as Exhibit 10.2 to the Company's Current Report on Form 8-K (Commission File no. 001-16109), filed with the Commission on March 21, 2012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10.1</w:t>
            </w:r>
            <w:r>
              <w:rPr>
                <w:sz w:val="20"/>
                <w:szCs w:val="20"/>
              </w:rPr>
              <w:t>1</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38" w:history="1">
              <w:r>
                <w:rPr>
                  <w:rStyle w:val="a4"/>
                  <w:sz w:val="20"/>
                  <w:szCs w:val="20"/>
                </w:rPr>
                <w:t>Form of Non-Employee Directors Restricted Stock Unit Award Agreement for the Company's Amended and Restated 2008 Stock Incentive Pla</w:t>
              </w:r>
              <w:r>
                <w:rPr>
                  <w:rStyle w:val="a4"/>
                  <w:sz w:val="20"/>
                  <w:szCs w:val="20"/>
                </w:rPr>
                <w:t>n</w:t>
              </w:r>
            </w:hyperlink>
            <w:r>
              <w:rPr>
                <w:sz w:val="20"/>
                <w:szCs w:val="20"/>
              </w:rPr>
              <w:t xml:space="preserve"> (previously filed as Exhibit 10.3 to the Company's Current Report on Form 8-K (Commission File no. 001-16109), filed with </w:t>
            </w:r>
            <w:r>
              <w:rPr>
                <w:sz w:val="20"/>
                <w:szCs w:val="20"/>
              </w:rPr>
              <w:t>the Commission on March 21, 2012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10.1</w:t>
            </w:r>
            <w:r>
              <w:rPr>
                <w:sz w:val="20"/>
                <w:szCs w:val="20"/>
              </w:rPr>
              <w:t>2</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39" w:history="1">
              <w:r>
                <w:rPr>
                  <w:rStyle w:val="a4"/>
                  <w:sz w:val="20"/>
                  <w:szCs w:val="20"/>
                </w:rPr>
                <w:t>Form of Restricted Stock Unit Award Agreement for the Company</w:t>
              </w:r>
              <w:r>
                <w:rPr>
                  <w:rStyle w:val="a4"/>
                  <w:sz w:val="20"/>
                  <w:szCs w:val="20"/>
                </w:rPr>
                <w:t>'s Amended and Restated 2008 Stock Incentive Plan (Time-Vesting Form for Executive Officers</w:t>
              </w:r>
              <w:r>
                <w:rPr>
                  <w:rStyle w:val="a4"/>
                  <w:sz w:val="20"/>
                  <w:szCs w:val="20"/>
                </w:rPr>
                <w:t>)</w:t>
              </w:r>
            </w:hyperlink>
            <w:r>
              <w:rPr>
                <w:sz w:val="20"/>
                <w:szCs w:val="20"/>
              </w:rPr>
              <w:t xml:space="preserve"> (previously filed as Exhibit 10.23 to the Company's Annual Report on Form 10-K (Commission File no. 001-16109), filed with the Commission on February 27, 2013 and </w:t>
            </w:r>
            <w:r>
              <w:rPr>
                <w:sz w:val="20"/>
                <w:szCs w:val="20"/>
              </w:rPr>
              <w:t>incorporated herein by this reference)</w:t>
            </w:r>
            <w:r>
              <w:rPr>
                <w:sz w:val="20"/>
                <w:szCs w:val="20"/>
              </w:rPr>
              <w:t>.</w:t>
            </w:r>
            <w:r>
              <w:rPr>
                <w:sz w:val="20"/>
                <w:szCs w:val="20"/>
              </w:rPr>
              <w:t xml:space="preserve"> </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10.1</w:t>
            </w:r>
            <w:r>
              <w:rPr>
                <w:sz w:val="20"/>
                <w:szCs w:val="20"/>
              </w:rPr>
              <w:t>3</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40" w:history="1">
              <w:r>
                <w:rPr>
                  <w:rStyle w:val="a4"/>
                  <w:sz w:val="20"/>
                  <w:szCs w:val="20"/>
                </w:rPr>
                <w:t>Amended and Restated Non-Employee Director Deferred Compensation Pla</w:t>
              </w:r>
              <w:r>
                <w:rPr>
                  <w:rStyle w:val="a4"/>
                  <w:sz w:val="20"/>
                  <w:szCs w:val="20"/>
                </w:rPr>
                <w:t>n</w:t>
              </w:r>
            </w:hyperlink>
            <w:r>
              <w:rPr>
                <w:sz w:val="20"/>
                <w:szCs w:val="20"/>
              </w:rPr>
              <w:t> (previously filed as Exhibit</w:t>
            </w:r>
            <w:r>
              <w:rPr>
                <w:sz w:val="20"/>
                <w:szCs w:val="20"/>
              </w:rPr>
              <w:t xml:space="preserve"> 10.1 to the Company's Current Report on Form 8-K (Commission File no. 001-16109), filed with the Commission on August 16, 2007 and incorporated herein by this reference)</w:t>
            </w:r>
            <w:r>
              <w:rPr>
                <w:sz w:val="20"/>
                <w:szCs w:val="20"/>
              </w:rPr>
              <w:t>.</w:t>
            </w:r>
          </w:p>
        </w:tc>
      </w:tr>
    </w:tbl>
    <w:p w:rsidR="00000000" w:rsidRDefault="006D723D">
      <w:pPr>
        <w:pStyle w:val="a3"/>
        <w:spacing w:before="240" w:beforeAutospacing="0" w:after="0" w:afterAutospacing="0"/>
        <w:jc w:val="center"/>
        <w:rPr>
          <w:sz w:val="20"/>
          <w:szCs w:val="20"/>
        </w:rPr>
      </w:pPr>
      <w:r>
        <w:rPr>
          <w:sz w:val="20"/>
          <w:szCs w:val="20"/>
        </w:rPr>
        <w:t>10</w:t>
      </w:r>
      <w:r>
        <w:rPr>
          <w:sz w:val="20"/>
          <w:szCs w:val="20"/>
        </w:rPr>
        <w:t>1</w:t>
      </w:r>
    </w:p>
    <w:p w:rsidR="00000000" w:rsidRDefault="006D723D">
      <w:pPr>
        <w:rPr>
          <w:rFonts w:eastAsia="Times New Roman"/>
        </w:rPr>
      </w:pPr>
      <w:r>
        <w:rPr>
          <w:rFonts w:eastAsia="Times New Roman"/>
        </w:rPr>
        <w:pict>
          <v:rect id="_x0000_i1125"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8"/>
        <w:gridCol w:w="150"/>
        <w:gridCol w:w="7368"/>
      </w:tblGrid>
      <w:tr w:rsidR="00000000">
        <w:trPr>
          <w:tblCellSpacing w:w="15" w:type="dxa"/>
        </w:trPr>
        <w:tc>
          <w:tcPr>
            <w:tcW w:w="454" w:type="pct"/>
            <w:vAlign w:val="center"/>
            <w:hideMark/>
          </w:tcPr>
          <w:p w:rsidR="00000000" w:rsidRDefault="006D723D">
            <w:pPr>
              <w:rPr>
                <w:sz w:val="20"/>
                <w:szCs w:val="20"/>
              </w:rPr>
            </w:pPr>
          </w:p>
        </w:tc>
        <w:tc>
          <w:tcPr>
            <w:tcW w:w="73" w:type="pct"/>
            <w:vAlign w:val="center"/>
            <w:hideMark/>
          </w:tcPr>
          <w:p w:rsidR="00000000" w:rsidRDefault="006D723D">
            <w:pPr>
              <w:rPr>
                <w:rFonts w:eastAsia="Times New Roman"/>
                <w:sz w:val="20"/>
                <w:szCs w:val="20"/>
              </w:rPr>
            </w:pPr>
          </w:p>
        </w:tc>
        <w:tc>
          <w:tcPr>
            <w:tcW w:w="4472" w:type="pct"/>
            <w:vAlign w:val="center"/>
            <w:hideMark/>
          </w:tcPr>
          <w:p w:rsidR="00000000" w:rsidRDefault="006D723D">
            <w:pPr>
              <w:rPr>
                <w:rFonts w:eastAsia="Times New Roman"/>
                <w:sz w:val="20"/>
                <w:szCs w:val="20"/>
              </w:rPr>
            </w:pP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10.1</w:t>
            </w:r>
            <w:r>
              <w:rPr>
                <w:sz w:val="20"/>
                <w:szCs w:val="20"/>
              </w:rPr>
              <w:t>4</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41" w:history="1">
              <w:r>
                <w:rPr>
                  <w:rStyle w:val="a4"/>
                  <w:sz w:val="20"/>
                  <w:szCs w:val="20"/>
                </w:rPr>
                <w:t>Amendment to the Amended and Restated Non-Employee Director Deferred Compensation Pla</w:t>
              </w:r>
              <w:r>
                <w:rPr>
                  <w:rStyle w:val="a4"/>
                  <w:sz w:val="20"/>
                  <w:szCs w:val="20"/>
                </w:rPr>
                <w:t>n</w:t>
              </w:r>
            </w:hyperlink>
            <w:r>
              <w:rPr>
                <w:sz w:val="20"/>
                <w:szCs w:val="20"/>
              </w:rPr>
              <w:t> (previousl</w:t>
            </w:r>
            <w:r>
              <w:rPr>
                <w:sz w:val="20"/>
                <w:szCs w:val="20"/>
              </w:rPr>
              <w:t>y filed as Exhibit 10.35 to the Company's Annual Report on Form 10-K (Commission File no. 001-16109), filed with the Commission on February 24, 2010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10.1</w:t>
            </w:r>
            <w:r>
              <w:rPr>
                <w:sz w:val="20"/>
                <w:szCs w:val="20"/>
              </w:rPr>
              <w:t>5</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42" w:history="1">
              <w:r>
                <w:rPr>
                  <w:rStyle w:val="a4"/>
                  <w:sz w:val="20"/>
                  <w:szCs w:val="20"/>
                </w:rPr>
                <w:t>Amended and Restated Executive Deferred Compensation Pla</w:t>
              </w:r>
              <w:r>
                <w:rPr>
                  <w:rStyle w:val="a4"/>
                  <w:sz w:val="20"/>
                  <w:szCs w:val="20"/>
                </w:rPr>
                <w:t>n</w:t>
              </w:r>
            </w:hyperlink>
            <w:r>
              <w:rPr>
                <w:sz w:val="20"/>
                <w:szCs w:val="20"/>
              </w:rPr>
              <w:t> (previously filed as Exhibit 10.2 to the Company's Current Report on Form 8-K (Commission File no</w:t>
            </w:r>
            <w:r>
              <w:rPr>
                <w:sz w:val="20"/>
                <w:szCs w:val="20"/>
              </w:rPr>
              <w:t>. 001-16109), filed with the Commission on August 16, 2007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10.1</w:t>
            </w:r>
            <w:r>
              <w:rPr>
                <w:sz w:val="20"/>
                <w:szCs w:val="20"/>
              </w:rPr>
              <w:t>6</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43" w:history="1">
              <w:r>
                <w:rPr>
                  <w:rStyle w:val="a4"/>
                  <w:sz w:val="20"/>
                  <w:szCs w:val="20"/>
                </w:rPr>
                <w:t>Form of Indemnification Agreemen</w:t>
              </w:r>
              <w:r>
                <w:rPr>
                  <w:rStyle w:val="a4"/>
                  <w:sz w:val="20"/>
                  <w:szCs w:val="20"/>
                </w:rPr>
                <w:t>t</w:t>
              </w:r>
            </w:hyperlink>
            <w:r>
              <w:rPr>
                <w:sz w:val="20"/>
                <w:szCs w:val="20"/>
              </w:rPr>
              <w:t> (p</w:t>
            </w:r>
            <w:r>
              <w:rPr>
                <w:sz w:val="20"/>
                <w:szCs w:val="20"/>
              </w:rPr>
              <w:t>reviously filed as Exhibit 10.1 to the Company's Current Report on Form 8-K (Commission File no. 001-16109), filed with the Commission on August 18, 2009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10.1</w:t>
            </w:r>
            <w:r>
              <w:rPr>
                <w:sz w:val="20"/>
                <w:szCs w:val="20"/>
              </w:rPr>
              <w:t>7</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20"/>
                <w:szCs w:val="20"/>
              </w:rPr>
            </w:pPr>
            <w:hyperlink r:id="rId44" w:history="1">
              <w:r>
                <w:rPr>
                  <w:rStyle w:val="a4"/>
                  <w:sz w:val="20"/>
                  <w:szCs w:val="20"/>
                </w:rPr>
                <w:t>Form of Executive Employment Agreement, effective as of January 1, 202</w:t>
              </w:r>
              <w:r>
                <w:rPr>
                  <w:rStyle w:val="a4"/>
                  <w:sz w:val="20"/>
                  <w:szCs w:val="20"/>
                </w:rPr>
                <w:t>1</w:t>
              </w:r>
            </w:hyperlink>
            <w:r>
              <w:rPr>
                <w:sz w:val="20"/>
                <w:szCs w:val="20"/>
              </w:rPr>
              <w:t> (previously filed as Exhibit 10.17 to the Company's Annual Report on Form 10-K (Commission File no. 001-16109), filed with th</w:t>
            </w:r>
            <w:r>
              <w:rPr>
                <w:sz w:val="20"/>
                <w:szCs w:val="20"/>
              </w:rPr>
              <w:t>e Commission on February 22, 2021 and incorporated herein by this reference)</w:t>
            </w:r>
            <w:r>
              <w:rPr>
                <w:sz w:val="20"/>
                <w:szCs w:val="20"/>
              </w:rPr>
              <w:t>.</w:t>
            </w:r>
            <w:r>
              <w:rPr>
                <w:sz w:val="20"/>
                <w:szCs w:val="20"/>
              </w:rPr>
              <w:t xml:space="preserve"> </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10.1</w:t>
            </w:r>
            <w:r>
              <w:rPr>
                <w:sz w:val="20"/>
                <w:szCs w:val="20"/>
              </w:rPr>
              <w:t>8</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20"/>
                <w:szCs w:val="20"/>
              </w:rPr>
            </w:pPr>
            <w:hyperlink r:id="rId45" w:history="1">
              <w:r>
                <w:rPr>
                  <w:rStyle w:val="a4"/>
                  <w:sz w:val="20"/>
                  <w:szCs w:val="20"/>
                </w:rPr>
                <w:t>Term Loan Credit Agreement, dated as of December 18, 2019, by and among the Company, Nomura Corporate Funding Americas, LLC, as Administrative Agent and N</w:t>
              </w:r>
              <w:r>
                <w:rPr>
                  <w:rStyle w:val="a4"/>
                  <w:sz w:val="20"/>
                  <w:szCs w:val="20"/>
                </w:rPr>
                <w:t>omura Securities International, Inc., as a Lead Arranger and Bookrunne</w:t>
              </w:r>
              <w:r>
                <w:rPr>
                  <w:rStyle w:val="a4"/>
                  <w:sz w:val="20"/>
                  <w:szCs w:val="20"/>
                </w:rPr>
                <w:t>r</w:t>
              </w:r>
            </w:hyperlink>
            <w:r>
              <w:rPr>
                <w:sz w:val="20"/>
                <w:szCs w:val="20"/>
              </w:rPr>
              <w:t> (previously filed as Exhibit 10.19 to the Company's Annual Report on Form 10-K (Commission File no. 001-16109), filed with the Commission on February 20, 2020 and incorporated herein b</w:t>
            </w:r>
            <w:r>
              <w:rPr>
                <w:sz w:val="20"/>
                <w:szCs w:val="20"/>
              </w:rPr>
              <w:t>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10.1</w:t>
            </w:r>
            <w:r>
              <w:rPr>
                <w:sz w:val="20"/>
                <w:szCs w:val="20"/>
              </w:rPr>
              <w:t>9</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20"/>
                <w:szCs w:val="20"/>
              </w:rPr>
            </w:pPr>
            <w:hyperlink r:id="rId46" w:history="1">
              <w:r>
                <w:rPr>
                  <w:rStyle w:val="a4"/>
                  <w:sz w:val="20"/>
                  <w:szCs w:val="20"/>
                </w:rPr>
                <w:t>First Amendment to Term Loan Credit Agreement, dated August 4, 2020, to the Term Loan Credit Agreement, dated as of December 18, 201</w:t>
              </w:r>
              <w:r>
                <w:rPr>
                  <w:rStyle w:val="a4"/>
                  <w:sz w:val="20"/>
                  <w:szCs w:val="20"/>
                </w:rPr>
                <w:t>9</w:t>
              </w:r>
            </w:hyperlink>
            <w:r>
              <w:rPr>
                <w:sz w:val="20"/>
                <w:szCs w:val="20"/>
                <w:u w:val="single"/>
              </w:rPr>
              <w:t xml:space="preserve"> </w:t>
            </w:r>
            <w:r>
              <w:rPr>
                <w:sz w:val="20"/>
                <w:szCs w:val="20"/>
              </w:rPr>
              <w:t xml:space="preserve">(previously filed as Exhibit 10.1 to the Company's Current Report on Form 8-K (Commission File no. 001-16109), filed with </w:t>
            </w:r>
            <w:r>
              <w:rPr>
                <w:sz w:val="20"/>
                <w:szCs w:val="20"/>
              </w:rPr>
              <w:t>the Commission on August 5, 2020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10.2</w:t>
            </w:r>
            <w:r>
              <w:rPr>
                <w:sz w:val="20"/>
                <w:szCs w:val="20"/>
              </w:rPr>
              <w:t>0</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20"/>
                <w:szCs w:val="20"/>
              </w:rPr>
            </w:pPr>
            <w:hyperlink r:id="rId47" w:history="1">
              <w:r>
                <w:rPr>
                  <w:rStyle w:val="a4"/>
                  <w:sz w:val="20"/>
                  <w:szCs w:val="20"/>
                </w:rPr>
                <w:t>The Company's Second Amended and Restated 2008 Stock Incentive</w:t>
              </w:r>
              <w:r>
                <w:rPr>
                  <w:rStyle w:val="a4"/>
                  <w:sz w:val="20"/>
                  <w:szCs w:val="20"/>
                </w:rPr>
                <w:t xml:space="preserve"> Pla</w:t>
              </w:r>
              <w:r>
                <w:rPr>
                  <w:rStyle w:val="a4"/>
                  <w:sz w:val="20"/>
                  <w:szCs w:val="20"/>
                </w:rPr>
                <w:t>n</w:t>
              </w:r>
            </w:hyperlink>
            <w:r>
              <w:rPr>
                <w:sz w:val="20"/>
                <w:szCs w:val="20"/>
              </w:rPr>
              <w:t> (previously filed as Exhibit 10.1 to the Company's Current Report on Form 8-K (Commission File no. 001-16109), filed with the Commission on May 12, 2017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10.2</w:t>
            </w:r>
            <w:r>
              <w:rPr>
                <w:sz w:val="20"/>
                <w:szCs w:val="20"/>
              </w:rPr>
              <w:t>1</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20"/>
                <w:szCs w:val="20"/>
              </w:rPr>
            </w:pPr>
            <w:hyperlink r:id="rId48" w:history="1">
              <w:r>
                <w:rPr>
                  <w:rStyle w:val="a4"/>
                  <w:sz w:val="20"/>
                  <w:szCs w:val="20"/>
                </w:rPr>
                <w:t>The Company's 2020 Stock Incentive Pla</w:t>
              </w:r>
              <w:r>
                <w:rPr>
                  <w:rStyle w:val="a4"/>
                  <w:sz w:val="20"/>
                  <w:szCs w:val="20"/>
                </w:rPr>
                <w:t>n</w:t>
              </w:r>
            </w:hyperlink>
            <w:r>
              <w:rPr>
                <w:sz w:val="20"/>
                <w:szCs w:val="20"/>
              </w:rPr>
              <w:t xml:space="preserve"> </w:t>
            </w:r>
            <w:r>
              <w:rPr>
                <w:sz w:val="20"/>
                <w:szCs w:val="20"/>
              </w:rPr>
              <w:t>(previously filed as Exhibit 10.1 to the Company's Current Report on Form 8-K (Commission File no. 001-16109), file</w:t>
            </w:r>
            <w:r>
              <w:rPr>
                <w:sz w:val="20"/>
                <w:szCs w:val="20"/>
              </w:rPr>
              <w:t>d with the Commission on May 18, 2020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10.2</w:t>
            </w:r>
            <w:r>
              <w:rPr>
                <w:sz w:val="20"/>
                <w:szCs w:val="20"/>
              </w:rPr>
              <w:t>2</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20"/>
                <w:szCs w:val="20"/>
              </w:rPr>
            </w:pPr>
            <w:hyperlink r:id="rId49" w:history="1">
              <w:r>
                <w:rPr>
                  <w:rStyle w:val="a4"/>
                  <w:sz w:val="20"/>
                  <w:szCs w:val="20"/>
                </w:rPr>
                <w:t xml:space="preserve">Form of Executive Time-Based Restricted Share Unit Award </w:t>
              </w:r>
              <w:r>
                <w:rPr>
                  <w:rStyle w:val="a4"/>
                  <w:sz w:val="20"/>
                  <w:szCs w:val="20"/>
                </w:rPr>
                <w:t>Agreement for the Company's 2020 Stock Incentive Pla</w:t>
              </w:r>
              <w:r>
                <w:rPr>
                  <w:rStyle w:val="a4"/>
                  <w:sz w:val="20"/>
                  <w:szCs w:val="20"/>
                </w:rPr>
                <w:t>n</w:t>
              </w:r>
            </w:hyperlink>
            <w:r>
              <w:rPr>
                <w:sz w:val="20"/>
                <w:szCs w:val="20"/>
              </w:rPr>
              <w:t> (previously filed as Exhibit 10.1 to the Company's Quarterly Report on Form 10-Q (Commission File no. 001-16109), filed with the Commission on August 6, 2020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10.2</w:t>
            </w:r>
            <w:r>
              <w:rPr>
                <w:sz w:val="20"/>
                <w:szCs w:val="20"/>
              </w:rPr>
              <w:t>3</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20"/>
                <w:szCs w:val="20"/>
              </w:rPr>
            </w:pPr>
            <w:hyperlink r:id="rId50" w:history="1">
              <w:r>
                <w:rPr>
                  <w:rStyle w:val="a4"/>
                  <w:sz w:val="20"/>
                  <w:szCs w:val="20"/>
                </w:rPr>
                <w:t>Form of Executive Performance-Based Restricted Share Unit Award Agreement for the Company's 2020 Stock Incentive Pla</w:t>
              </w:r>
              <w:r>
                <w:rPr>
                  <w:rStyle w:val="a4"/>
                  <w:sz w:val="20"/>
                  <w:szCs w:val="20"/>
                </w:rPr>
                <w:t>n</w:t>
              </w:r>
            </w:hyperlink>
            <w:r>
              <w:rPr>
                <w:sz w:val="20"/>
                <w:szCs w:val="20"/>
              </w:rPr>
              <w:t> (previously filed as Exhibit 10.2 to the Company's Quarterly Report on Form 10-Q (Commission File no. 001-16109), filed with the Commissio</w:t>
            </w:r>
            <w:r>
              <w:rPr>
                <w:sz w:val="20"/>
                <w:szCs w:val="20"/>
              </w:rPr>
              <w:t>n on August 6, 2020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10.2</w:t>
            </w:r>
            <w:r>
              <w:rPr>
                <w:sz w:val="20"/>
                <w:szCs w:val="20"/>
              </w:rPr>
              <w:t>4</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20"/>
                <w:szCs w:val="20"/>
              </w:rPr>
            </w:pPr>
            <w:hyperlink r:id="rId51" w:history="1">
              <w:r>
                <w:rPr>
                  <w:rStyle w:val="a4"/>
                  <w:sz w:val="20"/>
                  <w:szCs w:val="20"/>
                </w:rPr>
                <w:t>Form of Non-Employee Director Restricted Share Unit Agreement for the Compa</w:t>
              </w:r>
              <w:r>
                <w:rPr>
                  <w:rStyle w:val="a4"/>
                  <w:sz w:val="20"/>
                  <w:szCs w:val="20"/>
                </w:rPr>
                <w:t>ny's 2020 Stock Incentive Pla</w:t>
              </w:r>
              <w:r>
                <w:rPr>
                  <w:rStyle w:val="a4"/>
                  <w:sz w:val="20"/>
                  <w:szCs w:val="20"/>
                </w:rPr>
                <w:t>n</w:t>
              </w:r>
            </w:hyperlink>
            <w:r>
              <w:rPr>
                <w:sz w:val="20"/>
                <w:szCs w:val="20"/>
              </w:rPr>
              <w:t> (previously filed as Exhibit 10.3 to the Company's Quarterly Report on Form 10-Q (Commission File no. 001-16109), filed with the Commission on August 6, 2020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10.2</w:t>
            </w:r>
            <w:r>
              <w:rPr>
                <w:sz w:val="20"/>
                <w:szCs w:val="20"/>
              </w:rPr>
              <w:t>5</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20"/>
                <w:szCs w:val="20"/>
              </w:rPr>
            </w:pPr>
            <w:hyperlink r:id="rId52" w:history="1">
              <w:r>
                <w:rPr>
                  <w:rStyle w:val="a4"/>
                  <w:sz w:val="20"/>
                  <w:szCs w:val="20"/>
                </w:rPr>
                <w:t>Form of Non-Employee Director Restricted Share Unit Agreement with deferral provisions for the Company's 2020 Stock Incentive Pla</w:t>
              </w:r>
              <w:r>
                <w:rPr>
                  <w:rStyle w:val="a4"/>
                  <w:sz w:val="20"/>
                  <w:szCs w:val="20"/>
                </w:rPr>
                <w:t>n</w:t>
              </w:r>
            </w:hyperlink>
            <w:r>
              <w:rPr>
                <w:sz w:val="20"/>
                <w:szCs w:val="20"/>
              </w:rPr>
              <w:t> (previously filed as Exhibit 10</w:t>
            </w:r>
            <w:r>
              <w:rPr>
                <w:sz w:val="20"/>
                <w:szCs w:val="20"/>
              </w:rPr>
              <w:t>.4 to the Company's Quarterly Report on Form 10-Q (Commission File no. 001-16109), filed with the Commission on August 6, 2020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10.2</w:t>
            </w:r>
            <w:r>
              <w:rPr>
                <w:sz w:val="20"/>
                <w:szCs w:val="20"/>
              </w:rPr>
              <w:t>6</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20"/>
                <w:szCs w:val="20"/>
              </w:rPr>
            </w:pPr>
            <w:hyperlink r:id="rId53" w:history="1">
              <w:r>
                <w:rPr>
                  <w:rStyle w:val="a4"/>
                  <w:sz w:val="20"/>
                  <w:szCs w:val="20"/>
                </w:rPr>
                <w:t>The Company's Amended and Restated 2020 Stock Incentive Pla</w:t>
              </w:r>
              <w:r>
                <w:rPr>
                  <w:rStyle w:val="a4"/>
                  <w:sz w:val="20"/>
                  <w:szCs w:val="20"/>
                </w:rPr>
                <w:t>n</w:t>
              </w:r>
            </w:hyperlink>
            <w:r>
              <w:rPr>
                <w:sz w:val="20"/>
                <w:szCs w:val="20"/>
              </w:rPr>
              <w:t xml:space="preserve"> </w:t>
            </w:r>
            <w:r>
              <w:rPr>
                <w:sz w:val="20"/>
                <w:szCs w:val="20"/>
              </w:rPr>
              <w:t>(previously filed as Exhibit 10.1 to the Company's Current Report on Form 8-K (Commission File</w:t>
            </w:r>
            <w:r>
              <w:rPr>
                <w:sz w:val="20"/>
                <w:szCs w:val="20"/>
              </w:rPr>
              <w:t xml:space="preserve"> no. 001-16109), filed with the Commission on May 16, 2022 and incorporated herein by this reference)</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21.1</w:t>
            </w:r>
            <w:r>
              <w:rPr>
                <w:sz w:val="20"/>
                <w:szCs w:val="20"/>
              </w:rPr>
              <w:t>*</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54" w:history="1">
              <w:r>
                <w:rPr>
                  <w:rStyle w:val="a4"/>
                  <w:sz w:val="20"/>
                  <w:szCs w:val="20"/>
                </w:rPr>
                <w:t>Subsidiaries of the Company</w:t>
              </w:r>
              <w:r>
                <w:rPr>
                  <w:rStyle w:val="a4"/>
                  <w:sz w:val="20"/>
                  <w:szCs w:val="20"/>
                </w:rPr>
                <w:t>.</w:t>
              </w:r>
            </w:hyperlink>
            <w:r>
              <w:rPr>
                <w:sz w:val="20"/>
                <w:szCs w:val="20"/>
              </w:rPr>
              <w:t xml:space="preserve"> </w:t>
            </w:r>
          </w:p>
        </w:tc>
      </w:tr>
      <w:tr w:rsidR="00000000">
        <w:trPr>
          <w:trHeight w:val="120"/>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bl>
    <w:p w:rsidR="00000000" w:rsidRDefault="006D723D">
      <w:pPr>
        <w:pStyle w:val="a3"/>
        <w:spacing w:before="240" w:beforeAutospacing="0" w:after="0" w:afterAutospacing="0"/>
        <w:jc w:val="center"/>
        <w:rPr>
          <w:sz w:val="20"/>
          <w:szCs w:val="20"/>
        </w:rPr>
      </w:pPr>
      <w:r>
        <w:rPr>
          <w:sz w:val="20"/>
          <w:szCs w:val="20"/>
        </w:rPr>
        <w:t>10</w:t>
      </w:r>
      <w:r>
        <w:rPr>
          <w:sz w:val="20"/>
          <w:szCs w:val="20"/>
        </w:rPr>
        <w:t>2</w:t>
      </w:r>
    </w:p>
    <w:p w:rsidR="00000000" w:rsidRDefault="006D723D">
      <w:pPr>
        <w:rPr>
          <w:rFonts w:eastAsia="Times New Roman"/>
        </w:rPr>
      </w:pPr>
      <w:r>
        <w:rPr>
          <w:rFonts w:eastAsia="Times New Roman"/>
        </w:rPr>
        <w:pict>
          <v:rect id="_x0000_i1126"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8"/>
        <w:gridCol w:w="150"/>
        <w:gridCol w:w="7368"/>
      </w:tblGrid>
      <w:tr w:rsidR="00000000">
        <w:trPr>
          <w:tblCellSpacing w:w="15" w:type="dxa"/>
        </w:trPr>
        <w:tc>
          <w:tcPr>
            <w:tcW w:w="454" w:type="pct"/>
            <w:vAlign w:val="center"/>
            <w:hideMark/>
          </w:tcPr>
          <w:p w:rsidR="00000000" w:rsidRDefault="006D723D">
            <w:pPr>
              <w:rPr>
                <w:sz w:val="20"/>
                <w:szCs w:val="20"/>
              </w:rPr>
            </w:pPr>
          </w:p>
        </w:tc>
        <w:tc>
          <w:tcPr>
            <w:tcW w:w="73" w:type="pct"/>
            <w:vAlign w:val="center"/>
            <w:hideMark/>
          </w:tcPr>
          <w:p w:rsidR="00000000" w:rsidRDefault="006D723D">
            <w:pPr>
              <w:rPr>
                <w:rFonts w:eastAsia="Times New Roman"/>
                <w:sz w:val="20"/>
                <w:szCs w:val="20"/>
              </w:rPr>
            </w:pPr>
          </w:p>
        </w:tc>
        <w:tc>
          <w:tcPr>
            <w:tcW w:w="4472" w:type="pct"/>
            <w:vAlign w:val="center"/>
            <w:hideMark/>
          </w:tcPr>
          <w:p w:rsidR="00000000" w:rsidRDefault="006D723D">
            <w:pPr>
              <w:rPr>
                <w:rFonts w:eastAsia="Times New Roman"/>
                <w:sz w:val="20"/>
                <w:szCs w:val="20"/>
              </w:rPr>
            </w:pP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22.1</w:t>
            </w:r>
            <w:r>
              <w:rPr>
                <w:sz w:val="20"/>
                <w:szCs w:val="20"/>
              </w:rPr>
              <w:t>*</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20"/>
                <w:szCs w:val="20"/>
              </w:rPr>
            </w:pPr>
            <w:hyperlink r:id="rId55" w:history="1">
              <w:r>
                <w:rPr>
                  <w:rStyle w:val="a4"/>
                  <w:sz w:val="20"/>
                  <w:szCs w:val="20"/>
                </w:rPr>
                <w:t>List of Guarantor Subsidiaries</w:t>
              </w:r>
              <w:r>
                <w:rPr>
                  <w:rStyle w:val="a4"/>
                  <w:sz w:val="20"/>
                  <w:szCs w:val="20"/>
                </w:rPr>
                <w:t>.</w:t>
              </w:r>
            </w:hyperlink>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23.1</w:t>
            </w:r>
            <w:r>
              <w:rPr>
                <w:sz w:val="20"/>
                <w:szCs w:val="20"/>
              </w:rPr>
              <w:t>*</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56" w:history="1">
              <w:r>
                <w:rPr>
                  <w:rStyle w:val="a4"/>
                  <w:sz w:val="20"/>
                  <w:szCs w:val="20"/>
                </w:rPr>
                <w:t>Consent of Independent Registered Public Accounting Firm</w:t>
              </w:r>
              <w:r>
                <w:rPr>
                  <w:rStyle w:val="a4"/>
                  <w:sz w:val="20"/>
                  <w:szCs w:val="20"/>
                </w:rPr>
                <w:t>.</w:t>
              </w:r>
            </w:hyperlink>
            <w:r>
              <w:rPr>
                <w:sz w:val="20"/>
                <w:szCs w:val="20"/>
              </w:rPr>
              <w:t xml:space="preserve"> </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31.1</w:t>
            </w:r>
            <w:r>
              <w:rPr>
                <w:sz w:val="20"/>
                <w:szCs w:val="20"/>
              </w:rPr>
              <w:t>*</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57" w:history="1">
              <w:r>
                <w:rPr>
                  <w:rStyle w:val="a4"/>
                  <w:sz w:val="20"/>
                  <w:szCs w:val="20"/>
                </w:rPr>
                <w:t>Certification of the Company's Chief Executive Officer pursuant to Securities and Exchange Act Rules 13a-14(a) and 15d-14(a), as adopted pursuant to Section 302 of the Sarbanes-Oxley Act of 2002</w:t>
              </w:r>
              <w:r>
                <w:rPr>
                  <w:rStyle w:val="a4"/>
                  <w:sz w:val="20"/>
                  <w:szCs w:val="20"/>
                </w:rPr>
                <w:t>.</w:t>
              </w:r>
            </w:hyperlink>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31.2</w:t>
            </w:r>
            <w:r>
              <w:rPr>
                <w:sz w:val="20"/>
                <w:szCs w:val="20"/>
              </w:rPr>
              <w:t>*</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58" w:history="1">
              <w:r>
                <w:rPr>
                  <w:rStyle w:val="a4"/>
                  <w:sz w:val="20"/>
                  <w:szCs w:val="20"/>
                </w:rPr>
                <w:t>Certification</w:t>
              </w:r>
              <w:r>
                <w:rPr>
                  <w:rStyle w:val="a4"/>
                  <w:sz w:val="20"/>
                  <w:szCs w:val="20"/>
                </w:rPr>
                <w:t xml:space="preserve"> of the Company's Chief Financial Officer pursuant to Securities and Exchange Act Rules 13a-14(a) and 15d-14(a), as adopted pursuant to Section 302 of the Sarbanes-Oxley Act of 2002</w:t>
              </w:r>
              <w:r>
                <w:rPr>
                  <w:rStyle w:val="a4"/>
                  <w:sz w:val="20"/>
                  <w:szCs w:val="20"/>
                </w:rPr>
                <w:t>.</w:t>
              </w:r>
            </w:hyperlink>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32.1*</w:t>
            </w:r>
            <w:r>
              <w:rPr>
                <w:sz w:val="20"/>
                <w:szCs w:val="20"/>
              </w:rPr>
              <w:t>*</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59" w:history="1">
              <w:r>
                <w:rPr>
                  <w:rStyle w:val="a4"/>
                  <w:sz w:val="20"/>
                  <w:szCs w:val="20"/>
                </w:rPr>
                <w:t>Certification of the Comp</w:t>
              </w:r>
              <w:r>
                <w:rPr>
                  <w:rStyle w:val="a4"/>
                  <w:sz w:val="20"/>
                  <w:szCs w:val="20"/>
                </w:rPr>
                <w:t>any's Chief Executive Officer pursuant to 18 U.S.C. Section 1350, as adopted pursuant to Section 906 of the Sarbanes-Oxley Act of 2002</w:t>
              </w:r>
              <w:r>
                <w:rPr>
                  <w:rStyle w:val="a4"/>
                  <w:sz w:val="20"/>
                  <w:szCs w:val="20"/>
                </w:rPr>
                <w:t>.</w:t>
              </w:r>
            </w:hyperlink>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32.2*</w:t>
            </w:r>
            <w:r>
              <w:rPr>
                <w:sz w:val="20"/>
                <w:szCs w:val="20"/>
              </w:rPr>
              <w:t>*</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hyperlink r:id="rId60" w:history="1">
              <w:r>
                <w:rPr>
                  <w:rStyle w:val="a4"/>
                  <w:sz w:val="20"/>
                  <w:szCs w:val="20"/>
                </w:rPr>
                <w:t>Certification of the Company's Chief Financial Officer pursuant to 18 U.S.C. Section 1350, as adopted pursuant to Section 906 of the Sarbanes-Oxley Act of 2002</w:t>
              </w:r>
              <w:r>
                <w:rPr>
                  <w:rStyle w:val="a4"/>
                  <w:sz w:val="20"/>
                  <w:szCs w:val="20"/>
                </w:rPr>
                <w:t>.</w:t>
              </w:r>
            </w:hyperlink>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101</w:t>
            </w:r>
            <w:r>
              <w:rPr>
                <w:sz w:val="20"/>
                <w:szCs w:val="20"/>
              </w:rPr>
              <w:t>*</w:t>
            </w:r>
          </w:p>
        </w:tc>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The following financial information from the Company's Annual Report on Form 10-</w:t>
            </w:r>
            <w:r>
              <w:rPr>
                <w:sz w:val="20"/>
                <w:szCs w:val="20"/>
              </w:rPr>
              <w:t>K for the fiscal year ended December 31, 2022, formatted in Inline XBRL (Extensible Business Reporting Language) includes: (i) the Consolidated Balance Sheets, (ii) the Consolidated Statements of Operations, (iii) the Consolidated Statements of Cash Flows,</w:t>
            </w:r>
            <w:r>
              <w:rPr>
                <w:sz w:val="20"/>
                <w:szCs w:val="20"/>
              </w:rPr>
              <w:t xml:space="preserve"> (iv) the Consolidated Statements of Stockholders' Equity, and (v) the Notes to Consolidated Financial Statements. The instance document does not appear in the interactive data file because its XBRL tags are embedded within the Inline XBRL document</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104</w:t>
            </w:r>
            <w:r>
              <w:rPr>
                <w:sz w:val="20"/>
                <w:szCs w:val="20"/>
              </w:rPr>
              <w:t>*</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20"/>
                <w:szCs w:val="20"/>
              </w:rPr>
            </w:pPr>
            <w:r>
              <w:rPr>
                <w:sz w:val="20"/>
                <w:szCs w:val="20"/>
              </w:rPr>
              <w:t>The cover page from the Company's Annual Report on Form 10-K for the fiscal year ended December 31, 2022, formatted in Inline XBRL (included in Exhibit 101)</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jc w:val="both"/>
              <w:rPr>
                <w:sz w:val="12"/>
                <w:szCs w:val="12"/>
              </w:rPr>
            </w:pPr>
            <w:r>
              <w:rPr>
                <w:sz w:val="12"/>
                <w:szCs w:val="12"/>
              </w:rPr>
              <w:t> </w:t>
            </w:r>
          </w:p>
        </w:tc>
      </w:tr>
    </w:tbl>
    <w:p w:rsidR="00000000" w:rsidRDefault="006D723D">
      <w:pPr>
        <w:pStyle w:val="a3"/>
        <w:spacing w:before="0" w:beforeAutospacing="0" w:after="0" w:afterAutospacing="0"/>
        <w:rPr>
          <w:sz w:val="20"/>
          <w:szCs w:val="20"/>
        </w:rPr>
      </w:pPr>
      <w:r>
        <w:t> </w:t>
      </w:r>
    </w:p>
    <w:p w:rsidR="00000000" w:rsidRDefault="006D723D">
      <w:pPr>
        <w:pStyle w:val="a3"/>
        <w:spacing w:before="0" w:beforeAutospacing="0" w:after="0" w:afterAutospacing="0"/>
        <w:rPr>
          <w:sz w:val="20"/>
          <w:szCs w:val="20"/>
        </w:rPr>
      </w:pPr>
      <w:r>
        <w:t> </w:t>
      </w:r>
    </w:p>
    <w:p w:rsidR="00000000" w:rsidRDefault="006D723D">
      <w:pPr>
        <w:pStyle w:val="a3"/>
        <w:spacing w:before="0" w:beforeAutospacing="0" w:after="0" w:afterAutospacing="0"/>
        <w:ind w:hanging="1220"/>
        <w:jc w:val="both"/>
        <w:rPr>
          <w:sz w:val="20"/>
          <w:szCs w:val="20"/>
        </w:rPr>
      </w:pPr>
      <w:r>
        <w:rPr>
          <w:b/>
          <w:bCs/>
          <w:sz w:val="20"/>
          <w:szCs w:val="20"/>
        </w:rPr>
        <w:t>ITEM 16. FOR</w:t>
      </w:r>
      <w:r>
        <w:rPr>
          <w:b/>
          <w:bCs/>
          <w:sz w:val="20"/>
          <w:szCs w:val="20"/>
        </w:rPr>
        <w:t>M</w:t>
      </w:r>
      <w:r>
        <w:rPr>
          <w:b/>
          <w:bCs/>
          <w:sz w:val="20"/>
          <w:szCs w:val="20"/>
        </w:rPr>
        <w:t xml:space="preserve"> 10-K SUMMAR</w:t>
      </w:r>
      <w:r>
        <w:rPr>
          <w:b/>
          <w:bCs/>
          <w:sz w:val="20"/>
          <w:szCs w:val="20"/>
        </w:rPr>
        <w:t>Y</w:t>
      </w:r>
    </w:p>
    <w:p w:rsidR="00000000" w:rsidRDefault="006D723D">
      <w:pPr>
        <w:pStyle w:val="a3"/>
        <w:spacing w:before="240" w:beforeAutospacing="0" w:after="0" w:afterAutospacing="0"/>
        <w:ind w:hanging="1220"/>
        <w:jc w:val="both"/>
        <w:rPr>
          <w:sz w:val="20"/>
          <w:szCs w:val="20"/>
        </w:rPr>
      </w:pPr>
      <w:r>
        <w:rPr>
          <w:sz w:val="20"/>
          <w:szCs w:val="20"/>
        </w:rPr>
        <w:t>Non</w:t>
      </w:r>
      <w:r>
        <w:rPr>
          <w:sz w:val="20"/>
          <w:szCs w:val="20"/>
        </w:rPr>
        <w:t>e</w:t>
      </w:r>
      <w:r>
        <w:rPr>
          <w:b/>
          <w:bCs/>
          <w:sz w:val="20"/>
          <w:szCs w:val="20"/>
        </w:rPr>
        <w:t>.</w:t>
      </w:r>
    </w:p>
    <w:p w:rsidR="00000000" w:rsidRDefault="006D723D">
      <w:pPr>
        <w:pStyle w:val="a3"/>
        <w:spacing w:before="240" w:beforeAutospacing="0" w:after="0" w:afterAutospacing="0"/>
        <w:jc w:val="center"/>
        <w:rPr>
          <w:sz w:val="20"/>
          <w:szCs w:val="20"/>
        </w:rPr>
      </w:pPr>
      <w:r>
        <w:rPr>
          <w:sz w:val="20"/>
          <w:szCs w:val="20"/>
        </w:rPr>
        <w:t>10</w:t>
      </w:r>
      <w:r>
        <w:rPr>
          <w:sz w:val="20"/>
          <w:szCs w:val="20"/>
        </w:rPr>
        <w:t>3</w:t>
      </w:r>
    </w:p>
    <w:p w:rsidR="00000000" w:rsidRDefault="006D723D">
      <w:pPr>
        <w:rPr>
          <w:rFonts w:eastAsia="Times New Roman"/>
        </w:rPr>
      </w:pPr>
      <w:r>
        <w:rPr>
          <w:rFonts w:eastAsia="Times New Roman"/>
        </w:rPr>
        <w:pict>
          <v:rect id="_x0000_i1127"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jc w:val="center"/>
        <w:rPr>
          <w:sz w:val="20"/>
          <w:szCs w:val="20"/>
        </w:rPr>
      </w:pPr>
      <w:r>
        <w:rPr>
          <w:b/>
          <w:bCs/>
          <w:sz w:val="20"/>
          <w:szCs w:val="20"/>
        </w:rPr>
        <w:t>SIGN</w:t>
      </w:r>
      <w:r>
        <w:rPr>
          <w:b/>
          <w:bCs/>
          <w:sz w:val="20"/>
          <w:szCs w:val="20"/>
        </w:rPr>
        <w:t>A</w:t>
      </w:r>
      <w:r>
        <w:rPr>
          <w:b/>
          <w:bCs/>
          <w:sz w:val="20"/>
          <w:szCs w:val="20"/>
        </w:rPr>
        <w:t>TURE</w:t>
      </w:r>
      <w:r>
        <w:rPr>
          <w:b/>
          <w:bCs/>
          <w:sz w:val="20"/>
          <w:szCs w:val="20"/>
        </w:rPr>
        <w:t>S</w:t>
      </w:r>
    </w:p>
    <w:p w:rsidR="00000000" w:rsidRDefault="006D723D">
      <w:pPr>
        <w:pStyle w:val="a3"/>
        <w:spacing w:before="240" w:beforeAutospacing="0" w:after="0" w:afterAutospacing="0"/>
        <w:jc w:val="both"/>
        <w:rPr>
          <w:sz w:val="20"/>
          <w:szCs w:val="20"/>
        </w:rPr>
      </w:pPr>
      <w:r>
        <w:rPr>
          <w:sz w:val="20"/>
          <w:szCs w:val="20"/>
        </w:rPr>
        <w:t>Pursuant to the requirements of the Securities Exchange Act of 1934, the registrant has duly caused this Annual Report to be signed on its behalf by the undersigned, thereunto duly authorized</w:t>
      </w:r>
      <w:r>
        <w:rPr>
          <w:sz w:val="20"/>
          <w:szCs w:val="20"/>
        </w:rPr>
        <w:t>.</w:t>
      </w:r>
    </w:p>
    <w:p w:rsidR="00000000" w:rsidRDefault="006D723D">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55"/>
        <w:gridCol w:w="349"/>
        <w:gridCol w:w="4102"/>
      </w:tblGrid>
      <w:tr w:rsidR="00000000">
        <w:trPr>
          <w:tblCellSpacing w:w="15" w:type="dxa"/>
        </w:trPr>
        <w:tc>
          <w:tcPr>
            <w:tcW w:w="2347" w:type="pct"/>
            <w:vAlign w:val="center"/>
            <w:hideMark/>
          </w:tcPr>
          <w:p w:rsidR="00000000" w:rsidRDefault="006D723D">
            <w:pPr>
              <w:rPr>
                <w:sz w:val="20"/>
                <w:szCs w:val="20"/>
              </w:rPr>
            </w:pPr>
          </w:p>
        </w:tc>
        <w:tc>
          <w:tcPr>
            <w:tcW w:w="154" w:type="pct"/>
            <w:vAlign w:val="center"/>
            <w:hideMark/>
          </w:tcPr>
          <w:p w:rsidR="00000000" w:rsidRDefault="006D723D">
            <w:pPr>
              <w:rPr>
                <w:rFonts w:eastAsia="Times New Roman"/>
                <w:sz w:val="20"/>
                <w:szCs w:val="20"/>
              </w:rPr>
            </w:pPr>
          </w:p>
        </w:tc>
        <w:tc>
          <w:tcPr>
            <w:tcW w:w="2497" w:type="pct"/>
            <w:vAlign w:val="center"/>
            <w:hideMark/>
          </w:tcPr>
          <w:p w:rsidR="00000000" w:rsidRDefault="006D723D">
            <w:pPr>
              <w:rPr>
                <w:rFonts w:eastAsia="Times New Roman"/>
                <w:sz w:val="20"/>
                <w:szCs w:val="20"/>
              </w:rPr>
            </w:pP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gridSpan w:val="2"/>
            <w:hideMark/>
          </w:tcPr>
          <w:p w:rsidR="00000000" w:rsidRDefault="006D723D">
            <w:pPr>
              <w:pStyle w:val="a3"/>
              <w:spacing w:before="0" w:beforeAutospacing="0" w:after="0" w:afterAutospacing="0"/>
              <w:jc w:val="both"/>
              <w:rPr>
                <w:sz w:val="20"/>
                <w:szCs w:val="20"/>
              </w:rPr>
            </w:pPr>
            <w:r>
              <w:rPr>
                <w:sz w:val="20"/>
                <w:szCs w:val="20"/>
              </w:rPr>
              <w:t>CORECIVIC, INC</w:t>
            </w:r>
            <w:r>
              <w:rPr>
                <w:sz w:val="20"/>
                <w:szCs w:val="20"/>
              </w:rPr>
              <w:t>.</w:t>
            </w:r>
          </w:p>
        </w:tc>
      </w:tr>
      <w:tr w:rsidR="00000000">
        <w:trPr>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Date: February 21, 202</w:t>
            </w:r>
            <w:r>
              <w:rPr>
                <w:sz w:val="20"/>
                <w:szCs w:val="20"/>
              </w:rPr>
              <w:t>3</w:t>
            </w:r>
          </w:p>
        </w:tc>
        <w:tc>
          <w:tcPr>
            <w:tcW w:w="0" w:type="auto"/>
            <w:hideMark/>
          </w:tcPr>
          <w:p w:rsidR="00000000" w:rsidRDefault="006D723D">
            <w:pPr>
              <w:pStyle w:val="a3"/>
              <w:spacing w:before="0" w:beforeAutospacing="0" w:after="0" w:afterAutospacing="0"/>
              <w:jc w:val="both"/>
              <w:rPr>
                <w:sz w:val="20"/>
                <w:szCs w:val="20"/>
              </w:rPr>
            </w:pPr>
            <w:r>
              <w:rPr>
                <w:sz w:val="20"/>
                <w:szCs w:val="20"/>
              </w:rPr>
              <w:t>By</w:t>
            </w:r>
            <w:r>
              <w:rPr>
                <w:sz w:val="20"/>
                <w:szCs w:val="20"/>
              </w:rPr>
              <w:t>:</w:t>
            </w:r>
          </w:p>
        </w:tc>
        <w:tc>
          <w:tcPr>
            <w:tcW w:w="0" w:type="auto"/>
            <w:tcBorders>
              <w:bottom w:val="single" w:sz="4" w:space="0" w:color="auto"/>
            </w:tcBorders>
            <w:hideMark/>
          </w:tcPr>
          <w:p w:rsidR="00000000" w:rsidRDefault="006D723D">
            <w:pPr>
              <w:pStyle w:val="a3"/>
              <w:spacing w:before="0" w:beforeAutospacing="0" w:after="0" w:afterAutospacing="0"/>
              <w:jc w:val="both"/>
              <w:rPr>
                <w:sz w:val="20"/>
                <w:szCs w:val="20"/>
              </w:rPr>
            </w:pPr>
            <w:r>
              <w:rPr>
                <w:sz w:val="20"/>
                <w:szCs w:val="20"/>
              </w:rPr>
              <w:t>/s/ Damon T. Hininge</w:t>
            </w:r>
            <w:r>
              <w:rPr>
                <w:sz w:val="20"/>
                <w:szCs w:val="20"/>
              </w:rPr>
              <w:t>r</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Damon T. Hininger, President and Chief Executive Office</w:t>
            </w:r>
            <w:r>
              <w:rPr>
                <w:sz w:val="20"/>
                <w:szCs w:val="20"/>
              </w:rPr>
              <w:t>r</w:t>
            </w:r>
            <w:r>
              <w:rPr>
                <w:sz w:val="20"/>
                <w:szCs w:val="20"/>
              </w:rPr>
              <w:t xml:space="preserve"> </w:t>
            </w:r>
          </w:p>
        </w:tc>
      </w:tr>
    </w:tbl>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40" w:beforeAutospacing="0" w:after="0" w:afterAutospacing="0"/>
        <w:jc w:val="both"/>
        <w:rPr>
          <w:sz w:val="20"/>
          <w:szCs w:val="20"/>
        </w:rPr>
      </w:pPr>
      <w:r>
        <w:rPr>
          <w:sz w:val="20"/>
          <w:szCs w:val="20"/>
        </w:rPr>
        <w:t>Pursuant to the requirements of the Securities Exchange Act of 1934, this Annual Report has been signed by the following persons on behalf of the registrant and in the capacities and on the dates indicated</w:t>
      </w:r>
      <w:r>
        <w:rPr>
          <w:sz w:val="20"/>
          <w:szCs w:val="20"/>
        </w:rPr>
        <w:t>.</w:t>
      </w:r>
    </w:p>
    <w:p w:rsidR="00000000" w:rsidRDefault="006D723D">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84"/>
        <w:gridCol w:w="112"/>
        <w:gridCol w:w="2910"/>
      </w:tblGrid>
      <w:tr w:rsidR="00000000">
        <w:trPr>
          <w:tblCellSpacing w:w="15" w:type="dxa"/>
        </w:trPr>
        <w:tc>
          <w:tcPr>
            <w:tcW w:w="3199" w:type="pct"/>
            <w:vAlign w:val="center"/>
            <w:hideMark/>
          </w:tcPr>
          <w:p w:rsidR="00000000" w:rsidRDefault="006D723D">
            <w:pPr>
              <w:rPr>
                <w:sz w:val="20"/>
                <w:szCs w:val="20"/>
              </w:rPr>
            </w:pPr>
          </w:p>
        </w:tc>
        <w:tc>
          <w:tcPr>
            <w:tcW w:w="50" w:type="pct"/>
            <w:vAlign w:val="center"/>
            <w:hideMark/>
          </w:tcPr>
          <w:p w:rsidR="00000000" w:rsidRDefault="006D723D">
            <w:pPr>
              <w:rPr>
                <w:rFonts w:eastAsia="Times New Roman"/>
                <w:sz w:val="20"/>
                <w:szCs w:val="20"/>
              </w:rPr>
            </w:pPr>
          </w:p>
        </w:tc>
        <w:tc>
          <w:tcPr>
            <w:tcW w:w="1750" w:type="pct"/>
            <w:vAlign w:val="center"/>
            <w:hideMark/>
          </w:tcPr>
          <w:p w:rsidR="00000000" w:rsidRDefault="006D723D">
            <w:pPr>
              <w:rPr>
                <w:rFonts w:eastAsia="Times New Roman"/>
                <w:sz w:val="20"/>
                <w:szCs w:val="20"/>
              </w:rPr>
            </w:pPr>
          </w:p>
        </w:tc>
      </w:tr>
      <w:tr w:rsidR="00000000">
        <w:trPr>
          <w:trHeight w:val="200"/>
          <w:tblCellSpacing w:w="15" w:type="dxa"/>
        </w:trPr>
        <w:tc>
          <w:tcPr>
            <w:tcW w:w="0" w:type="auto"/>
            <w:tcBorders>
              <w:bottom w:val="single" w:sz="4" w:space="0" w:color="auto"/>
            </w:tcBorders>
            <w:hideMark/>
          </w:tcPr>
          <w:p w:rsidR="00000000" w:rsidRDefault="006D723D">
            <w:pPr>
              <w:pStyle w:val="a3"/>
              <w:spacing w:before="0" w:beforeAutospacing="0" w:after="0" w:afterAutospacing="0"/>
              <w:jc w:val="both"/>
              <w:rPr>
                <w:sz w:val="20"/>
                <w:szCs w:val="20"/>
              </w:rPr>
            </w:pPr>
            <w:r>
              <w:rPr>
                <w:sz w:val="20"/>
                <w:szCs w:val="20"/>
              </w:rPr>
              <w:t>/s/ Damon T. Hininge</w:t>
            </w:r>
            <w:r>
              <w:rPr>
                <w:sz w:val="20"/>
                <w:szCs w:val="20"/>
              </w:rPr>
              <w:t>r</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February 21, 202</w:t>
            </w:r>
            <w:r>
              <w:rPr>
                <w:sz w:val="20"/>
                <w:szCs w:val="20"/>
              </w:rPr>
              <w:t>3</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Damon T. Hininger, President and Chief Executive Office</w:t>
            </w:r>
            <w:r>
              <w:rPr>
                <w:sz w:val="20"/>
                <w:szCs w:val="20"/>
              </w:rPr>
              <w:t>r</w:t>
            </w:r>
          </w:p>
          <w:p w:rsidR="00000000" w:rsidRDefault="006D723D">
            <w:pPr>
              <w:pStyle w:val="a3"/>
              <w:spacing w:before="0" w:beforeAutospacing="0" w:after="0" w:afterAutospacing="0"/>
              <w:jc w:val="both"/>
              <w:rPr>
                <w:sz w:val="20"/>
                <w:szCs w:val="20"/>
              </w:rPr>
            </w:pPr>
            <w:r>
              <w:rPr>
                <w:sz w:val="20"/>
                <w:szCs w:val="20"/>
              </w:rPr>
              <w:t>(Principal Executive Officer and Director</w:t>
            </w:r>
            <w:r>
              <w:rPr>
                <w:sz w:val="20"/>
                <w:szCs w:val="20"/>
              </w:rPr>
              <w:t>)</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r>
    </w:tbl>
    <w:p w:rsidR="00000000" w:rsidRDefault="006D723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84"/>
        <w:gridCol w:w="112"/>
        <w:gridCol w:w="2910"/>
      </w:tblGrid>
      <w:tr w:rsidR="00000000">
        <w:trPr>
          <w:tblCellSpacing w:w="15" w:type="dxa"/>
        </w:trPr>
        <w:tc>
          <w:tcPr>
            <w:tcW w:w="3199" w:type="pct"/>
            <w:vAlign w:val="center"/>
            <w:hideMark/>
          </w:tcPr>
          <w:p w:rsidR="00000000" w:rsidRDefault="006D723D">
            <w:pPr>
              <w:rPr>
                <w:sz w:val="20"/>
                <w:szCs w:val="20"/>
              </w:rPr>
            </w:pPr>
          </w:p>
        </w:tc>
        <w:tc>
          <w:tcPr>
            <w:tcW w:w="50" w:type="pct"/>
            <w:vAlign w:val="center"/>
            <w:hideMark/>
          </w:tcPr>
          <w:p w:rsidR="00000000" w:rsidRDefault="006D723D">
            <w:pPr>
              <w:rPr>
                <w:rFonts w:eastAsia="Times New Roman"/>
                <w:sz w:val="20"/>
                <w:szCs w:val="20"/>
              </w:rPr>
            </w:pPr>
          </w:p>
        </w:tc>
        <w:tc>
          <w:tcPr>
            <w:tcW w:w="1750" w:type="pct"/>
            <w:vAlign w:val="center"/>
            <w:hideMark/>
          </w:tcPr>
          <w:p w:rsidR="00000000" w:rsidRDefault="006D723D">
            <w:pPr>
              <w:rPr>
                <w:rFonts w:eastAsia="Times New Roman"/>
                <w:sz w:val="20"/>
                <w:szCs w:val="20"/>
              </w:rPr>
            </w:pPr>
          </w:p>
        </w:tc>
      </w:tr>
      <w:tr w:rsidR="00000000">
        <w:trPr>
          <w:trHeight w:val="200"/>
          <w:tblCellSpacing w:w="15" w:type="dxa"/>
        </w:trPr>
        <w:tc>
          <w:tcPr>
            <w:tcW w:w="0" w:type="auto"/>
            <w:tcBorders>
              <w:bottom w:val="single" w:sz="4" w:space="0" w:color="auto"/>
            </w:tcBorders>
            <w:hideMark/>
          </w:tcPr>
          <w:p w:rsidR="00000000" w:rsidRDefault="006D723D">
            <w:pPr>
              <w:pStyle w:val="a3"/>
              <w:spacing w:before="0" w:beforeAutospacing="0" w:after="0" w:afterAutospacing="0"/>
              <w:jc w:val="both"/>
              <w:rPr>
                <w:sz w:val="20"/>
                <w:szCs w:val="20"/>
              </w:rPr>
            </w:pPr>
            <w:r>
              <w:rPr>
                <w:sz w:val="20"/>
                <w:szCs w:val="20"/>
              </w:rPr>
              <w:t>/s/ David M. Garfinkl</w:t>
            </w:r>
            <w:r>
              <w:rPr>
                <w:sz w:val="20"/>
                <w:szCs w:val="20"/>
              </w:rPr>
              <w:t>e</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February 21, 202</w:t>
            </w:r>
            <w:r>
              <w:rPr>
                <w:sz w:val="20"/>
                <w:szCs w:val="20"/>
              </w:rPr>
              <w:t>3</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David M. Garfinkle, Executive Vice President and Chief Financial Office</w:t>
            </w:r>
            <w:r>
              <w:rPr>
                <w:sz w:val="20"/>
                <w:szCs w:val="20"/>
              </w:rPr>
              <w:t>r</w:t>
            </w:r>
          </w:p>
          <w:p w:rsidR="00000000" w:rsidRDefault="006D723D">
            <w:pPr>
              <w:pStyle w:val="a3"/>
              <w:spacing w:before="0" w:beforeAutospacing="0" w:after="0" w:afterAutospacing="0"/>
              <w:jc w:val="both"/>
              <w:rPr>
                <w:sz w:val="20"/>
                <w:szCs w:val="20"/>
              </w:rPr>
            </w:pPr>
            <w:r>
              <w:rPr>
                <w:sz w:val="20"/>
                <w:szCs w:val="20"/>
              </w:rPr>
              <w:t>(Principal Financial and Accounting Officer</w:t>
            </w:r>
            <w:r>
              <w:rPr>
                <w:sz w:val="20"/>
                <w:szCs w:val="20"/>
              </w:rPr>
              <w:t>)</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r>
    </w:tbl>
    <w:p w:rsidR="00000000" w:rsidRDefault="006D723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84"/>
        <w:gridCol w:w="112"/>
        <w:gridCol w:w="2910"/>
      </w:tblGrid>
      <w:tr w:rsidR="00000000">
        <w:trPr>
          <w:tblCellSpacing w:w="15" w:type="dxa"/>
        </w:trPr>
        <w:tc>
          <w:tcPr>
            <w:tcW w:w="3199" w:type="pct"/>
            <w:vAlign w:val="center"/>
            <w:hideMark/>
          </w:tcPr>
          <w:p w:rsidR="00000000" w:rsidRDefault="006D723D">
            <w:pPr>
              <w:rPr>
                <w:sz w:val="20"/>
                <w:szCs w:val="20"/>
              </w:rPr>
            </w:pPr>
          </w:p>
        </w:tc>
        <w:tc>
          <w:tcPr>
            <w:tcW w:w="50" w:type="pct"/>
            <w:vAlign w:val="center"/>
            <w:hideMark/>
          </w:tcPr>
          <w:p w:rsidR="00000000" w:rsidRDefault="006D723D">
            <w:pPr>
              <w:rPr>
                <w:rFonts w:eastAsia="Times New Roman"/>
                <w:sz w:val="20"/>
                <w:szCs w:val="20"/>
              </w:rPr>
            </w:pPr>
          </w:p>
        </w:tc>
        <w:tc>
          <w:tcPr>
            <w:tcW w:w="1750" w:type="pct"/>
            <w:vAlign w:val="center"/>
            <w:hideMark/>
          </w:tcPr>
          <w:p w:rsidR="00000000" w:rsidRDefault="006D723D">
            <w:pPr>
              <w:rPr>
                <w:rFonts w:eastAsia="Times New Roman"/>
                <w:sz w:val="20"/>
                <w:szCs w:val="20"/>
              </w:rPr>
            </w:pPr>
          </w:p>
        </w:tc>
      </w:tr>
      <w:tr w:rsidR="00000000">
        <w:trPr>
          <w:trHeight w:val="200"/>
          <w:tblCellSpacing w:w="15" w:type="dxa"/>
        </w:trPr>
        <w:tc>
          <w:tcPr>
            <w:tcW w:w="0" w:type="auto"/>
            <w:tcBorders>
              <w:bottom w:val="single" w:sz="4" w:space="0" w:color="auto"/>
            </w:tcBorders>
            <w:hideMark/>
          </w:tcPr>
          <w:p w:rsidR="00000000" w:rsidRDefault="006D723D">
            <w:pPr>
              <w:pStyle w:val="a3"/>
              <w:spacing w:before="0" w:beforeAutospacing="0" w:after="0" w:afterAutospacing="0"/>
              <w:jc w:val="both"/>
              <w:rPr>
                <w:sz w:val="20"/>
                <w:szCs w:val="20"/>
              </w:rPr>
            </w:pPr>
            <w:r>
              <w:rPr>
                <w:sz w:val="20"/>
                <w:szCs w:val="20"/>
              </w:rPr>
              <w:t>/s/ Mark A. Emke</w:t>
            </w:r>
            <w:r>
              <w:rPr>
                <w:sz w:val="20"/>
                <w:szCs w:val="20"/>
              </w:rPr>
              <w:t>s</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February 21, 202</w:t>
            </w:r>
            <w:r>
              <w:rPr>
                <w:sz w:val="20"/>
                <w:szCs w:val="20"/>
              </w:rPr>
              <w:t>3</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Mark A. Emkes, Chairman of the Board of Director</w:t>
            </w:r>
            <w:r>
              <w:rPr>
                <w:sz w:val="20"/>
                <w:szCs w:val="20"/>
              </w:rPr>
              <w:t>s</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r>
    </w:tbl>
    <w:p w:rsidR="00000000" w:rsidRDefault="006D723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84"/>
        <w:gridCol w:w="112"/>
        <w:gridCol w:w="2910"/>
      </w:tblGrid>
      <w:tr w:rsidR="00000000">
        <w:trPr>
          <w:tblCellSpacing w:w="15" w:type="dxa"/>
        </w:trPr>
        <w:tc>
          <w:tcPr>
            <w:tcW w:w="3199" w:type="pct"/>
            <w:vAlign w:val="center"/>
            <w:hideMark/>
          </w:tcPr>
          <w:p w:rsidR="00000000" w:rsidRDefault="006D723D">
            <w:pPr>
              <w:rPr>
                <w:sz w:val="20"/>
                <w:szCs w:val="20"/>
              </w:rPr>
            </w:pPr>
          </w:p>
        </w:tc>
        <w:tc>
          <w:tcPr>
            <w:tcW w:w="50" w:type="pct"/>
            <w:vAlign w:val="center"/>
            <w:hideMark/>
          </w:tcPr>
          <w:p w:rsidR="00000000" w:rsidRDefault="006D723D">
            <w:pPr>
              <w:rPr>
                <w:rFonts w:eastAsia="Times New Roman"/>
                <w:sz w:val="20"/>
                <w:szCs w:val="20"/>
              </w:rPr>
            </w:pPr>
          </w:p>
        </w:tc>
        <w:tc>
          <w:tcPr>
            <w:tcW w:w="1750" w:type="pct"/>
            <w:vAlign w:val="center"/>
            <w:hideMark/>
          </w:tcPr>
          <w:p w:rsidR="00000000" w:rsidRDefault="006D723D">
            <w:pPr>
              <w:rPr>
                <w:rFonts w:eastAsia="Times New Roman"/>
                <w:sz w:val="20"/>
                <w:szCs w:val="20"/>
              </w:rPr>
            </w:pPr>
          </w:p>
        </w:tc>
      </w:tr>
      <w:tr w:rsidR="00000000">
        <w:trPr>
          <w:trHeight w:val="200"/>
          <w:tblCellSpacing w:w="15" w:type="dxa"/>
        </w:trPr>
        <w:tc>
          <w:tcPr>
            <w:tcW w:w="0" w:type="auto"/>
            <w:tcBorders>
              <w:bottom w:val="single" w:sz="4" w:space="0" w:color="auto"/>
            </w:tcBorders>
            <w:hideMark/>
          </w:tcPr>
          <w:p w:rsidR="00000000" w:rsidRDefault="006D723D">
            <w:pPr>
              <w:pStyle w:val="a3"/>
              <w:spacing w:before="0" w:beforeAutospacing="0" w:after="0" w:afterAutospacing="0"/>
              <w:jc w:val="both"/>
              <w:rPr>
                <w:sz w:val="20"/>
                <w:szCs w:val="20"/>
              </w:rPr>
            </w:pPr>
            <w:r>
              <w:rPr>
                <w:sz w:val="20"/>
                <w:szCs w:val="20"/>
              </w:rPr>
              <w:t>/s/ Donna M. Alvarad</w:t>
            </w:r>
            <w:r>
              <w:rPr>
                <w:sz w:val="20"/>
                <w:szCs w:val="20"/>
              </w:rPr>
              <w:t>o</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February 21, 202</w:t>
            </w:r>
            <w:r>
              <w:rPr>
                <w:sz w:val="20"/>
                <w:szCs w:val="20"/>
              </w:rPr>
              <w:t>3</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Donna M. Alvarado, Directo</w:t>
            </w:r>
            <w:r>
              <w:rPr>
                <w:sz w:val="20"/>
                <w:szCs w:val="20"/>
              </w:rPr>
              <w:t>r</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r>
    </w:tbl>
    <w:p w:rsidR="00000000" w:rsidRDefault="006D723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84"/>
        <w:gridCol w:w="112"/>
        <w:gridCol w:w="2910"/>
      </w:tblGrid>
      <w:tr w:rsidR="00000000">
        <w:trPr>
          <w:tblCellSpacing w:w="15" w:type="dxa"/>
        </w:trPr>
        <w:tc>
          <w:tcPr>
            <w:tcW w:w="3199" w:type="pct"/>
            <w:vAlign w:val="center"/>
            <w:hideMark/>
          </w:tcPr>
          <w:p w:rsidR="00000000" w:rsidRDefault="006D723D">
            <w:pPr>
              <w:rPr>
                <w:sz w:val="20"/>
                <w:szCs w:val="20"/>
              </w:rPr>
            </w:pPr>
          </w:p>
        </w:tc>
        <w:tc>
          <w:tcPr>
            <w:tcW w:w="50" w:type="pct"/>
            <w:vAlign w:val="center"/>
            <w:hideMark/>
          </w:tcPr>
          <w:p w:rsidR="00000000" w:rsidRDefault="006D723D">
            <w:pPr>
              <w:rPr>
                <w:rFonts w:eastAsia="Times New Roman"/>
                <w:sz w:val="20"/>
                <w:szCs w:val="20"/>
              </w:rPr>
            </w:pPr>
          </w:p>
        </w:tc>
        <w:tc>
          <w:tcPr>
            <w:tcW w:w="1750" w:type="pct"/>
            <w:vAlign w:val="center"/>
            <w:hideMark/>
          </w:tcPr>
          <w:p w:rsidR="00000000" w:rsidRDefault="006D723D">
            <w:pPr>
              <w:rPr>
                <w:rFonts w:eastAsia="Times New Roman"/>
                <w:sz w:val="20"/>
                <w:szCs w:val="20"/>
              </w:rPr>
            </w:pPr>
          </w:p>
        </w:tc>
      </w:tr>
      <w:tr w:rsidR="00000000">
        <w:trPr>
          <w:trHeight w:val="200"/>
          <w:tblCellSpacing w:w="15" w:type="dxa"/>
        </w:trPr>
        <w:tc>
          <w:tcPr>
            <w:tcW w:w="0" w:type="auto"/>
            <w:tcBorders>
              <w:bottom w:val="single" w:sz="4" w:space="0" w:color="auto"/>
            </w:tcBorders>
            <w:hideMark/>
          </w:tcPr>
          <w:p w:rsidR="00000000" w:rsidRDefault="006D723D">
            <w:pPr>
              <w:pStyle w:val="a3"/>
              <w:spacing w:before="0" w:beforeAutospacing="0" w:after="0" w:afterAutospacing="0"/>
              <w:jc w:val="both"/>
              <w:rPr>
                <w:sz w:val="20"/>
                <w:szCs w:val="20"/>
              </w:rPr>
            </w:pPr>
            <w:r>
              <w:rPr>
                <w:sz w:val="20"/>
                <w:szCs w:val="20"/>
              </w:rPr>
              <w:t>/s/ Robert J. Denni</w:t>
            </w:r>
            <w:r>
              <w:rPr>
                <w:sz w:val="20"/>
                <w:szCs w:val="20"/>
              </w:rPr>
              <w:t>s</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February 21, 202</w:t>
            </w:r>
            <w:r>
              <w:rPr>
                <w:sz w:val="20"/>
                <w:szCs w:val="20"/>
              </w:rPr>
              <w:t>3</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Robert J. Dennis, Directo</w:t>
            </w:r>
            <w:r>
              <w:rPr>
                <w:sz w:val="20"/>
                <w:szCs w:val="20"/>
              </w:rPr>
              <w:t>r</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r>
    </w:tbl>
    <w:p w:rsidR="00000000" w:rsidRDefault="006D723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84"/>
        <w:gridCol w:w="112"/>
        <w:gridCol w:w="2910"/>
      </w:tblGrid>
      <w:tr w:rsidR="00000000">
        <w:trPr>
          <w:tblCellSpacing w:w="15" w:type="dxa"/>
        </w:trPr>
        <w:tc>
          <w:tcPr>
            <w:tcW w:w="3199" w:type="pct"/>
            <w:vAlign w:val="center"/>
            <w:hideMark/>
          </w:tcPr>
          <w:p w:rsidR="00000000" w:rsidRDefault="006D723D">
            <w:pPr>
              <w:rPr>
                <w:sz w:val="20"/>
                <w:szCs w:val="20"/>
              </w:rPr>
            </w:pPr>
          </w:p>
        </w:tc>
        <w:tc>
          <w:tcPr>
            <w:tcW w:w="50" w:type="pct"/>
            <w:vAlign w:val="center"/>
            <w:hideMark/>
          </w:tcPr>
          <w:p w:rsidR="00000000" w:rsidRDefault="006D723D">
            <w:pPr>
              <w:rPr>
                <w:rFonts w:eastAsia="Times New Roman"/>
                <w:sz w:val="20"/>
                <w:szCs w:val="20"/>
              </w:rPr>
            </w:pPr>
          </w:p>
        </w:tc>
        <w:tc>
          <w:tcPr>
            <w:tcW w:w="1750" w:type="pct"/>
            <w:vAlign w:val="center"/>
            <w:hideMark/>
          </w:tcPr>
          <w:p w:rsidR="00000000" w:rsidRDefault="006D723D">
            <w:pPr>
              <w:rPr>
                <w:rFonts w:eastAsia="Times New Roman"/>
                <w:sz w:val="20"/>
                <w:szCs w:val="20"/>
              </w:rPr>
            </w:pPr>
          </w:p>
        </w:tc>
      </w:tr>
      <w:tr w:rsidR="00000000">
        <w:trPr>
          <w:trHeight w:val="200"/>
          <w:tblCellSpacing w:w="15" w:type="dxa"/>
        </w:trPr>
        <w:tc>
          <w:tcPr>
            <w:tcW w:w="0" w:type="auto"/>
            <w:tcBorders>
              <w:bottom w:val="single" w:sz="4" w:space="0" w:color="auto"/>
            </w:tcBorders>
            <w:hideMark/>
          </w:tcPr>
          <w:p w:rsidR="00000000" w:rsidRDefault="006D723D">
            <w:pPr>
              <w:pStyle w:val="a3"/>
              <w:spacing w:before="0" w:beforeAutospacing="0" w:after="0" w:afterAutospacing="0"/>
              <w:jc w:val="both"/>
              <w:rPr>
                <w:sz w:val="20"/>
                <w:szCs w:val="20"/>
              </w:rPr>
            </w:pPr>
            <w:r>
              <w:rPr>
                <w:sz w:val="20"/>
                <w:szCs w:val="20"/>
              </w:rPr>
              <w:t>/s/ Stacia A. Hylto</w:t>
            </w:r>
            <w:r>
              <w:rPr>
                <w:sz w:val="20"/>
                <w:szCs w:val="20"/>
              </w:rPr>
              <w:t>n</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February 21, 202</w:t>
            </w:r>
            <w:r>
              <w:rPr>
                <w:sz w:val="20"/>
                <w:szCs w:val="20"/>
              </w:rPr>
              <w:t>3</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Stacia A. Hylton, Directo</w:t>
            </w:r>
            <w:r>
              <w:rPr>
                <w:sz w:val="20"/>
                <w:szCs w:val="20"/>
              </w:rPr>
              <w:t>r</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r>
    </w:tbl>
    <w:p w:rsidR="00000000" w:rsidRDefault="006D723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84"/>
        <w:gridCol w:w="112"/>
        <w:gridCol w:w="2910"/>
      </w:tblGrid>
      <w:tr w:rsidR="00000000">
        <w:trPr>
          <w:tblCellSpacing w:w="15" w:type="dxa"/>
        </w:trPr>
        <w:tc>
          <w:tcPr>
            <w:tcW w:w="3199" w:type="pct"/>
            <w:vAlign w:val="center"/>
            <w:hideMark/>
          </w:tcPr>
          <w:p w:rsidR="00000000" w:rsidRDefault="006D723D">
            <w:pPr>
              <w:rPr>
                <w:sz w:val="20"/>
                <w:szCs w:val="20"/>
              </w:rPr>
            </w:pPr>
          </w:p>
        </w:tc>
        <w:tc>
          <w:tcPr>
            <w:tcW w:w="50" w:type="pct"/>
            <w:vAlign w:val="center"/>
            <w:hideMark/>
          </w:tcPr>
          <w:p w:rsidR="00000000" w:rsidRDefault="006D723D">
            <w:pPr>
              <w:rPr>
                <w:rFonts w:eastAsia="Times New Roman"/>
                <w:sz w:val="20"/>
                <w:szCs w:val="20"/>
              </w:rPr>
            </w:pPr>
          </w:p>
        </w:tc>
        <w:tc>
          <w:tcPr>
            <w:tcW w:w="1750" w:type="pct"/>
            <w:vAlign w:val="center"/>
            <w:hideMark/>
          </w:tcPr>
          <w:p w:rsidR="00000000" w:rsidRDefault="006D723D">
            <w:pPr>
              <w:rPr>
                <w:rFonts w:eastAsia="Times New Roman"/>
                <w:sz w:val="20"/>
                <w:szCs w:val="20"/>
              </w:rPr>
            </w:pPr>
          </w:p>
        </w:tc>
      </w:tr>
      <w:tr w:rsidR="00000000">
        <w:trPr>
          <w:trHeight w:val="200"/>
          <w:tblCellSpacing w:w="15" w:type="dxa"/>
        </w:trPr>
        <w:tc>
          <w:tcPr>
            <w:tcW w:w="0" w:type="auto"/>
            <w:tcBorders>
              <w:bottom w:val="single" w:sz="4" w:space="0" w:color="auto"/>
            </w:tcBorders>
            <w:hideMark/>
          </w:tcPr>
          <w:p w:rsidR="00000000" w:rsidRDefault="006D723D">
            <w:pPr>
              <w:pStyle w:val="a3"/>
              <w:spacing w:before="0" w:beforeAutospacing="0" w:after="0" w:afterAutospacing="0"/>
              <w:jc w:val="both"/>
              <w:rPr>
                <w:sz w:val="20"/>
                <w:szCs w:val="20"/>
              </w:rPr>
            </w:pPr>
            <w:r>
              <w:rPr>
                <w:sz w:val="20"/>
                <w:szCs w:val="20"/>
              </w:rPr>
              <w:t>/s/ Harley G. Lappi</w:t>
            </w:r>
            <w:r>
              <w:rPr>
                <w:sz w:val="20"/>
                <w:szCs w:val="20"/>
              </w:rPr>
              <w:t>n</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February 21, 202</w:t>
            </w:r>
            <w:r>
              <w:rPr>
                <w:sz w:val="20"/>
                <w:szCs w:val="20"/>
              </w:rPr>
              <w:t>3</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Harley G. Lappin, Directo</w:t>
            </w:r>
            <w:r>
              <w:rPr>
                <w:sz w:val="20"/>
                <w:szCs w:val="20"/>
              </w:rPr>
              <w:t>r</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r>
      <w:tr w:rsidR="00000000">
        <w:trPr>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r>
      <w:tr w:rsidR="00000000">
        <w:trPr>
          <w:trHeight w:val="200"/>
          <w:tblCellSpacing w:w="15" w:type="dxa"/>
        </w:trPr>
        <w:tc>
          <w:tcPr>
            <w:tcW w:w="0" w:type="auto"/>
            <w:tcBorders>
              <w:bottom w:val="single" w:sz="4" w:space="0" w:color="auto"/>
            </w:tcBorders>
            <w:hideMark/>
          </w:tcPr>
          <w:p w:rsidR="00000000" w:rsidRDefault="006D723D">
            <w:pPr>
              <w:pStyle w:val="a3"/>
              <w:spacing w:before="0" w:beforeAutospacing="0" w:after="0" w:afterAutospacing="0"/>
              <w:jc w:val="both"/>
              <w:rPr>
                <w:sz w:val="20"/>
                <w:szCs w:val="20"/>
              </w:rPr>
            </w:pPr>
            <w:r>
              <w:rPr>
                <w:sz w:val="20"/>
                <w:szCs w:val="20"/>
              </w:rPr>
              <w:t>/s/ Anne L. Mariucc</w:t>
            </w:r>
            <w:r>
              <w:rPr>
                <w:sz w:val="20"/>
                <w:szCs w:val="20"/>
              </w:rPr>
              <w:t>i</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February 21, 202</w:t>
            </w:r>
            <w:r>
              <w:rPr>
                <w:sz w:val="20"/>
                <w:szCs w:val="20"/>
              </w:rPr>
              <w:t>3</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Anne L. Mariucci, Directo</w:t>
            </w:r>
            <w:r>
              <w:rPr>
                <w:sz w:val="20"/>
                <w:szCs w:val="20"/>
              </w:rPr>
              <w:t>r</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r>
    </w:tbl>
    <w:p w:rsidR="00000000" w:rsidRDefault="006D723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84"/>
        <w:gridCol w:w="112"/>
        <w:gridCol w:w="2910"/>
      </w:tblGrid>
      <w:tr w:rsidR="00000000">
        <w:trPr>
          <w:tblCellSpacing w:w="15" w:type="dxa"/>
        </w:trPr>
        <w:tc>
          <w:tcPr>
            <w:tcW w:w="3199" w:type="pct"/>
            <w:vAlign w:val="center"/>
            <w:hideMark/>
          </w:tcPr>
          <w:p w:rsidR="00000000" w:rsidRDefault="006D723D">
            <w:pPr>
              <w:rPr>
                <w:sz w:val="20"/>
                <w:szCs w:val="20"/>
              </w:rPr>
            </w:pPr>
          </w:p>
        </w:tc>
        <w:tc>
          <w:tcPr>
            <w:tcW w:w="50" w:type="pct"/>
            <w:vAlign w:val="center"/>
            <w:hideMark/>
          </w:tcPr>
          <w:p w:rsidR="00000000" w:rsidRDefault="006D723D">
            <w:pPr>
              <w:rPr>
                <w:rFonts w:eastAsia="Times New Roman"/>
                <w:sz w:val="20"/>
                <w:szCs w:val="20"/>
              </w:rPr>
            </w:pPr>
          </w:p>
        </w:tc>
        <w:tc>
          <w:tcPr>
            <w:tcW w:w="1750" w:type="pct"/>
            <w:vAlign w:val="center"/>
            <w:hideMark/>
          </w:tcPr>
          <w:p w:rsidR="00000000" w:rsidRDefault="006D723D">
            <w:pPr>
              <w:rPr>
                <w:rFonts w:eastAsia="Times New Roman"/>
                <w:sz w:val="20"/>
                <w:szCs w:val="20"/>
              </w:rPr>
            </w:pPr>
          </w:p>
        </w:tc>
      </w:tr>
      <w:tr w:rsidR="00000000">
        <w:trPr>
          <w:trHeight w:val="200"/>
          <w:tblCellSpacing w:w="15" w:type="dxa"/>
        </w:trPr>
        <w:tc>
          <w:tcPr>
            <w:tcW w:w="0" w:type="auto"/>
            <w:tcBorders>
              <w:bottom w:val="single" w:sz="4" w:space="0" w:color="auto"/>
            </w:tcBorders>
            <w:hideMark/>
          </w:tcPr>
          <w:p w:rsidR="00000000" w:rsidRDefault="006D723D">
            <w:pPr>
              <w:pStyle w:val="a3"/>
              <w:spacing w:before="0" w:beforeAutospacing="0" w:after="0" w:afterAutospacing="0"/>
              <w:jc w:val="both"/>
              <w:rPr>
                <w:sz w:val="20"/>
                <w:szCs w:val="20"/>
              </w:rPr>
            </w:pPr>
            <w:r>
              <w:rPr>
                <w:sz w:val="20"/>
                <w:szCs w:val="20"/>
              </w:rPr>
              <w:t>/s/ Thurgood Marshall, Jr</w:t>
            </w:r>
            <w:r>
              <w:rPr>
                <w:sz w:val="20"/>
                <w:szCs w:val="20"/>
              </w:rPr>
              <w:t>.</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February 21, 202</w:t>
            </w:r>
            <w:r>
              <w:rPr>
                <w:sz w:val="20"/>
                <w:szCs w:val="20"/>
              </w:rPr>
              <w:t>3</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Thurgood Marshall, Jr., Directo</w:t>
            </w:r>
            <w:r>
              <w:rPr>
                <w:sz w:val="20"/>
                <w:szCs w:val="20"/>
              </w:rPr>
              <w:t>r</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r>
    </w:tbl>
    <w:p w:rsidR="00000000" w:rsidRDefault="006D723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84"/>
        <w:gridCol w:w="112"/>
        <w:gridCol w:w="2910"/>
      </w:tblGrid>
      <w:tr w:rsidR="00000000">
        <w:trPr>
          <w:tblCellSpacing w:w="15" w:type="dxa"/>
        </w:trPr>
        <w:tc>
          <w:tcPr>
            <w:tcW w:w="3199" w:type="pct"/>
            <w:vAlign w:val="center"/>
            <w:hideMark/>
          </w:tcPr>
          <w:p w:rsidR="00000000" w:rsidRDefault="006D723D">
            <w:pPr>
              <w:rPr>
                <w:sz w:val="20"/>
                <w:szCs w:val="20"/>
              </w:rPr>
            </w:pPr>
          </w:p>
        </w:tc>
        <w:tc>
          <w:tcPr>
            <w:tcW w:w="50" w:type="pct"/>
            <w:vAlign w:val="center"/>
            <w:hideMark/>
          </w:tcPr>
          <w:p w:rsidR="00000000" w:rsidRDefault="006D723D">
            <w:pPr>
              <w:rPr>
                <w:rFonts w:eastAsia="Times New Roman"/>
                <w:sz w:val="20"/>
                <w:szCs w:val="20"/>
              </w:rPr>
            </w:pPr>
          </w:p>
        </w:tc>
        <w:tc>
          <w:tcPr>
            <w:tcW w:w="1750" w:type="pct"/>
            <w:vAlign w:val="center"/>
            <w:hideMark/>
          </w:tcPr>
          <w:p w:rsidR="00000000" w:rsidRDefault="006D723D">
            <w:pPr>
              <w:rPr>
                <w:rFonts w:eastAsia="Times New Roman"/>
                <w:sz w:val="20"/>
                <w:szCs w:val="20"/>
              </w:rPr>
            </w:pPr>
          </w:p>
        </w:tc>
      </w:tr>
      <w:tr w:rsidR="00000000">
        <w:trPr>
          <w:trHeight w:val="200"/>
          <w:tblCellSpacing w:w="15" w:type="dxa"/>
        </w:trPr>
        <w:tc>
          <w:tcPr>
            <w:tcW w:w="0" w:type="auto"/>
            <w:tcBorders>
              <w:bottom w:val="single" w:sz="4" w:space="0" w:color="auto"/>
            </w:tcBorders>
            <w:hideMark/>
          </w:tcPr>
          <w:p w:rsidR="00000000" w:rsidRDefault="006D723D">
            <w:pPr>
              <w:pStyle w:val="a3"/>
              <w:spacing w:before="0" w:beforeAutospacing="0" w:after="0" w:afterAutospacing="0"/>
              <w:jc w:val="both"/>
              <w:rPr>
                <w:sz w:val="20"/>
                <w:szCs w:val="20"/>
              </w:rPr>
            </w:pPr>
            <w:r>
              <w:rPr>
                <w:sz w:val="20"/>
                <w:szCs w:val="20"/>
              </w:rPr>
              <w:t>/s/ Devin I. Murph</w:t>
            </w:r>
            <w:r>
              <w:rPr>
                <w:sz w:val="20"/>
                <w:szCs w:val="20"/>
              </w:rPr>
              <w:t>y</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February 21, 202</w:t>
            </w:r>
            <w:r>
              <w:rPr>
                <w:sz w:val="20"/>
                <w:szCs w:val="20"/>
              </w:rPr>
              <w:t>3</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Devin I. Murphy, Directo</w:t>
            </w:r>
            <w:r>
              <w:rPr>
                <w:sz w:val="20"/>
                <w:szCs w:val="20"/>
              </w:rPr>
              <w:t>r</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r>
    </w:tbl>
    <w:p w:rsidR="00000000" w:rsidRDefault="006D723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84"/>
        <w:gridCol w:w="112"/>
        <w:gridCol w:w="2910"/>
      </w:tblGrid>
      <w:tr w:rsidR="00000000">
        <w:trPr>
          <w:tblCellSpacing w:w="15" w:type="dxa"/>
        </w:trPr>
        <w:tc>
          <w:tcPr>
            <w:tcW w:w="3199" w:type="pct"/>
            <w:vAlign w:val="center"/>
            <w:hideMark/>
          </w:tcPr>
          <w:p w:rsidR="00000000" w:rsidRDefault="006D723D">
            <w:pPr>
              <w:rPr>
                <w:sz w:val="20"/>
                <w:szCs w:val="20"/>
              </w:rPr>
            </w:pPr>
          </w:p>
        </w:tc>
        <w:tc>
          <w:tcPr>
            <w:tcW w:w="50" w:type="pct"/>
            <w:vAlign w:val="center"/>
            <w:hideMark/>
          </w:tcPr>
          <w:p w:rsidR="00000000" w:rsidRDefault="006D723D">
            <w:pPr>
              <w:rPr>
                <w:rFonts w:eastAsia="Times New Roman"/>
                <w:sz w:val="20"/>
                <w:szCs w:val="20"/>
              </w:rPr>
            </w:pPr>
          </w:p>
        </w:tc>
        <w:tc>
          <w:tcPr>
            <w:tcW w:w="1750" w:type="pct"/>
            <w:vAlign w:val="center"/>
            <w:hideMark/>
          </w:tcPr>
          <w:p w:rsidR="00000000" w:rsidRDefault="006D723D">
            <w:pPr>
              <w:rPr>
                <w:rFonts w:eastAsia="Times New Roman"/>
                <w:sz w:val="20"/>
                <w:szCs w:val="20"/>
              </w:rPr>
            </w:pPr>
          </w:p>
        </w:tc>
      </w:tr>
      <w:tr w:rsidR="00000000">
        <w:trPr>
          <w:trHeight w:val="200"/>
          <w:tblCellSpacing w:w="15" w:type="dxa"/>
        </w:trPr>
        <w:tc>
          <w:tcPr>
            <w:tcW w:w="0" w:type="auto"/>
            <w:tcBorders>
              <w:bottom w:val="single" w:sz="4" w:space="0" w:color="auto"/>
            </w:tcBorders>
            <w:hideMark/>
          </w:tcPr>
          <w:p w:rsidR="00000000" w:rsidRDefault="006D723D">
            <w:pPr>
              <w:pStyle w:val="a3"/>
              <w:spacing w:before="0" w:beforeAutospacing="0" w:after="0" w:afterAutospacing="0"/>
              <w:jc w:val="both"/>
              <w:rPr>
                <w:sz w:val="20"/>
                <w:szCs w:val="20"/>
              </w:rPr>
            </w:pPr>
            <w:r>
              <w:rPr>
                <w:sz w:val="20"/>
                <w:szCs w:val="20"/>
              </w:rPr>
              <w:t>/s/ John R. Prann, Jr</w:t>
            </w:r>
            <w:r>
              <w:rPr>
                <w:sz w:val="20"/>
                <w:szCs w:val="20"/>
              </w:rPr>
              <w:t>.</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February 21, 202</w:t>
            </w:r>
            <w:r>
              <w:rPr>
                <w:sz w:val="20"/>
                <w:szCs w:val="20"/>
              </w:rPr>
              <w:t>3</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John R. Prann, Jr., Directo</w:t>
            </w:r>
            <w:r>
              <w:rPr>
                <w:sz w:val="20"/>
                <w:szCs w:val="20"/>
              </w:rPr>
              <w:t>r</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c>
          <w:tcPr>
            <w:tcW w:w="0" w:type="auto"/>
            <w:hideMark/>
          </w:tcPr>
          <w:p w:rsidR="00000000" w:rsidRDefault="006D723D">
            <w:pPr>
              <w:pStyle w:val="a3"/>
              <w:spacing w:before="0" w:beforeAutospacing="0" w:after="0" w:afterAutospacing="0"/>
              <w:jc w:val="both"/>
              <w:rPr>
                <w:sz w:val="20"/>
                <w:szCs w:val="20"/>
              </w:rPr>
            </w:pPr>
            <w:r>
              <w:rPr>
                <w:sz w:val="20"/>
                <w:szCs w:val="20"/>
              </w:rPr>
              <w:t> </w:t>
            </w:r>
          </w:p>
        </w:tc>
      </w:tr>
    </w:tbl>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240" w:beforeAutospacing="0" w:after="0" w:afterAutospacing="0"/>
        <w:jc w:val="center"/>
        <w:rPr>
          <w:sz w:val="20"/>
          <w:szCs w:val="20"/>
        </w:rPr>
      </w:pPr>
      <w:r>
        <w:rPr>
          <w:sz w:val="20"/>
          <w:szCs w:val="20"/>
        </w:rPr>
        <w:t>10</w:t>
      </w:r>
      <w:r>
        <w:rPr>
          <w:sz w:val="20"/>
          <w:szCs w:val="20"/>
        </w:rPr>
        <w:t>4</w:t>
      </w:r>
    </w:p>
    <w:p w:rsidR="00000000" w:rsidRDefault="006D723D">
      <w:pPr>
        <w:rPr>
          <w:rFonts w:eastAsia="Times New Roman"/>
        </w:rPr>
      </w:pPr>
      <w:r>
        <w:rPr>
          <w:rFonts w:eastAsia="Times New Roman"/>
        </w:rPr>
        <w:pict>
          <v:rect id="_x0000_i1128"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rPr>
          <w:sz w:val="20"/>
          <w:szCs w:val="20"/>
        </w:rPr>
      </w:pPr>
      <w:r>
        <w:rPr>
          <w:b/>
          <w:bCs/>
          <w:sz w:val="20"/>
          <w:szCs w:val="20"/>
        </w:rPr>
        <w:t>INDEX TO FINANCIAL STATEMENTS AND SCHEDUL</w:t>
      </w:r>
      <w:r>
        <w:rPr>
          <w:b/>
          <w:bCs/>
          <w:sz w:val="20"/>
          <w:szCs w:val="20"/>
        </w:rPr>
        <w:t>E</w:t>
      </w:r>
    </w:p>
    <w:p w:rsidR="00000000" w:rsidRDefault="006D723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776"/>
        <w:gridCol w:w="530"/>
      </w:tblGrid>
      <w:tr w:rsidR="00000000">
        <w:trPr>
          <w:tblCellSpacing w:w="15" w:type="dxa"/>
        </w:trPr>
        <w:tc>
          <w:tcPr>
            <w:tcW w:w="4704" w:type="pct"/>
            <w:vAlign w:val="center"/>
            <w:hideMark/>
          </w:tcPr>
          <w:p w:rsidR="00000000" w:rsidRDefault="006D723D">
            <w:pPr>
              <w:rPr>
                <w:sz w:val="20"/>
                <w:szCs w:val="20"/>
              </w:rPr>
            </w:pPr>
          </w:p>
        </w:tc>
        <w:tc>
          <w:tcPr>
            <w:tcW w:w="295" w:type="pct"/>
            <w:vAlign w:val="center"/>
            <w:hideMark/>
          </w:tcPr>
          <w:p w:rsidR="00000000" w:rsidRDefault="006D723D">
            <w:pPr>
              <w:rPr>
                <w:rFonts w:eastAsia="Times New Roman"/>
                <w:sz w:val="20"/>
                <w:szCs w:val="20"/>
              </w:rPr>
            </w:pP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b/>
                <w:bCs/>
                <w:sz w:val="20"/>
                <w:szCs w:val="20"/>
              </w:rPr>
              <w:t>Consolidated Financial Statements of CoreCivic, Inc. and Subsidiarie</w:t>
            </w:r>
            <w:r>
              <w:rPr>
                <w:b/>
                <w:bCs/>
                <w:sz w:val="20"/>
                <w:szCs w:val="20"/>
              </w:rPr>
              <w:t>s</w:t>
            </w:r>
          </w:p>
        </w:tc>
        <w:tc>
          <w:tcPr>
            <w:tcW w:w="0" w:type="auto"/>
            <w:hideMark/>
          </w:tcPr>
          <w:p w:rsidR="00000000" w:rsidRDefault="006D723D">
            <w:pPr>
              <w:pStyle w:val="a3"/>
              <w:spacing w:before="0" w:beforeAutospacing="0" w:after="0" w:afterAutospacing="0"/>
              <w:rPr>
                <w:sz w:val="20"/>
                <w:szCs w:val="20"/>
              </w:rPr>
            </w:pPr>
            <w:r>
              <w:rPr>
                <w:sz w:val="20"/>
                <w:szCs w:val="20"/>
              </w:rPr>
              <w:t> </w:t>
            </w:r>
          </w:p>
        </w:tc>
      </w:tr>
      <w:tr w:rsidR="00000000">
        <w:trPr>
          <w:tblCellSpacing w:w="15" w:type="dxa"/>
        </w:trPr>
        <w:tc>
          <w:tcPr>
            <w:tcW w:w="0" w:type="auto"/>
            <w:hideMark/>
          </w:tcPr>
          <w:p w:rsidR="00000000" w:rsidRDefault="006D723D">
            <w:pPr>
              <w:pStyle w:val="a3"/>
              <w:spacing w:before="0" w:beforeAutospacing="0" w:after="0" w:afterAutospacing="0"/>
              <w:rPr>
                <w:sz w:val="12"/>
                <w:szCs w:val="12"/>
              </w:rPr>
            </w:pPr>
            <w:r>
              <w:rPr>
                <w:sz w:val="12"/>
                <w:szCs w:val="12"/>
              </w:rPr>
              <w:t> </w:t>
            </w:r>
          </w:p>
        </w:tc>
        <w:tc>
          <w:tcPr>
            <w:tcW w:w="0" w:type="auto"/>
            <w:hideMark/>
          </w:tcPr>
          <w:p w:rsidR="00000000" w:rsidRDefault="006D723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hyperlink w:anchor="report_independent_registered_public_ac" w:history="1">
              <w:r>
                <w:rPr>
                  <w:rStyle w:val="a4"/>
                  <w:sz w:val="20"/>
                  <w:szCs w:val="20"/>
                </w:rPr>
                <w:t>Report of Independent Registered Public Accounting Fir</w:t>
              </w:r>
              <w:r>
                <w:rPr>
                  <w:rStyle w:val="a4"/>
                  <w:sz w:val="20"/>
                  <w:szCs w:val="20"/>
                </w:rPr>
                <w:t>m</w:t>
              </w:r>
            </w:hyperlink>
            <w:r>
              <w:rPr>
                <w:sz w:val="20"/>
                <w:szCs w:val="20"/>
              </w:rPr>
              <w:t xml:space="preserve"> </w:t>
            </w:r>
            <w:r>
              <w:rPr>
                <w:sz w:val="20"/>
                <w:szCs w:val="20"/>
              </w:rPr>
              <w:t>(PCAOB ID 00</w:t>
            </w:r>
            <w:r>
              <w:rPr>
                <w:sz w:val="20"/>
                <w:szCs w:val="20"/>
              </w:rPr>
              <w:t>0</w:t>
            </w:r>
            <w:r>
              <w:rPr>
                <w:sz w:val="20"/>
                <w:szCs w:val="20"/>
              </w:rPr>
              <w:t>4</w:t>
            </w:r>
            <w:r>
              <w:rPr>
                <w:sz w:val="20"/>
                <w:szCs w:val="20"/>
              </w:rPr>
              <w:t>2</w:t>
            </w:r>
            <w:r>
              <w:rPr>
                <w:sz w:val="20"/>
                <w:szCs w:val="20"/>
              </w:rPr>
              <w:t>)</w:t>
            </w:r>
          </w:p>
        </w:tc>
        <w:tc>
          <w:tcPr>
            <w:tcW w:w="0" w:type="auto"/>
            <w:hideMark/>
          </w:tcPr>
          <w:p w:rsidR="00000000" w:rsidRDefault="006D723D">
            <w:pPr>
              <w:pStyle w:val="a3"/>
              <w:spacing w:before="0" w:beforeAutospacing="0" w:after="0" w:afterAutospacing="0"/>
              <w:rPr>
                <w:sz w:val="20"/>
                <w:szCs w:val="20"/>
              </w:rPr>
            </w:pPr>
            <w:r>
              <w:rPr>
                <w:sz w:val="20"/>
                <w:szCs w:val="20"/>
              </w:rPr>
              <w:t>F</w:t>
            </w:r>
            <w:r>
              <w:rPr>
                <w:sz w:val="20"/>
                <w:szCs w:val="20"/>
              </w:rPr>
              <w:t>-</w:t>
            </w:r>
            <w:r>
              <w:rPr>
                <w:sz w:val="20"/>
                <w:szCs w:val="20"/>
              </w:rPr>
              <w:t>2</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hyperlink w:anchor="consolidated_balance_sheets" w:history="1">
              <w:r>
                <w:rPr>
                  <w:rStyle w:val="a4"/>
                  <w:sz w:val="20"/>
                  <w:szCs w:val="20"/>
                </w:rPr>
                <w:t>Consolidated Balance Sheets as of December 31, 2022 and 202</w:t>
              </w:r>
              <w:r>
                <w:rPr>
                  <w:rStyle w:val="a4"/>
                  <w:sz w:val="20"/>
                  <w:szCs w:val="20"/>
                </w:rPr>
                <w:t>1</w:t>
              </w:r>
            </w:hyperlink>
          </w:p>
        </w:tc>
        <w:tc>
          <w:tcPr>
            <w:tcW w:w="0" w:type="auto"/>
            <w:hideMark/>
          </w:tcPr>
          <w:p w:rsidR="00000000" w:rsidRDefault="006D723D">
            <w:pPr>
              <w:pStyle w:val="a3"/>
              <w:spacing w:before="0" w:beforeAutospacing="0" w:after="0" w:afterAutospacing="0"/>
              <w:rPr>
                <w:sz w:val="20"/>
                <w:szCs w:val="20"/>
              </w:rPr>
            </w:pPr>
            <w:r>
              <w:rPr>
                <w:sz w:val="20"/>
                <w:szCs w:val="20"/>
              </w:rPr>
              <w:t>F</w:t>
            </w:r>
            <w:r>
              <w:rPr>
                <w:sz w:val="20"/>
                <w:szCs w:val="20"/>
              </w:rPr>
              <w:t>-</w:t>
            </w:r>
            <w:r>
              <w:rPr>
                <w:sz w:val="20"/>
                <w:szCs w:val="20"/>
              </w:rPr>
              <w:t>4</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hyperlink w:anchor="consolidated_statements_operations" w:history="1">
              <w:r>
                <w:rPr>
                  <w:rStyle w:val="a4"/>
                  <w:sz w:val="20"/>
                  <w:szCs w:val="20"/>
                </w:rPr>
                <w:t>Consolidated Statements of Operations for the years ended December 31, 2022, 2021 a</w:t>
              </w:r>
              <w:r>
                <w:rPr>
                  <w:rStyle w:val="a4"/>
                  <w:sz w:val="20"/>
                  <w:szCs w:val="20"/>
                </w:rPr>
                <w:t>nd 202</w:t>
              </w:r>
              <w:r>
                <w:rPr>
                  <w:rStyle w:val="a4"/>
                  <w:sz w:val="20"/>
                  <w:szCs w:val="20"/>
                </w:rPr>
                <w:t>0</w:t>
              </w:r>
            </w:hyperlink>
          </w:p>
        </w:tc>
        <w:tc>
          <w:tcPr>
            <w:tcW w:w="0" w:type="auto"/>
            <w:hideMark/>
          </w:tcPr>
          <w:p w:rsidR="00000000" w:rsidRDefault="006D723D">
            <w:pPr>
              <w:pStyle w:val="a3"/>
              <w:spacing w:before="0" w:beforeAutospacing="0" w:after="0" w:afterAutospacing="0"/>
              <w:rPr>
                <w:sz w:val="20"/>
                <w:szCs w:val="20"/>
              </w:rPr>
            </w:pPr>
            <w:r>
              <w:rPr>
                <w:sz w:val="20"/>
                <w:szCs w:val="20"/>
              </w:rPr>
              <w:t>F</w:t>
            </w:r>
            <w:r>
              <w:rPr>
                <w:sz w:val="20"/>
                <w:szCs w:val="20"/>
              </w:rPr>
              <w:t>-</w:t>
            </w:r>
            <w:r>
              <w:rPr>
                <w:sz w:val="20"/>
                <w:szCs w:val="20"/>
              </w:rPr>
              <w:t>5</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hyperlink w:anchor="consolidated_statements_cash_flows" w:history="1">
              <w:r>
                <w:rPr>
                  <w:rStyle w:val="a4"/>
                  <w:sz w:val="20"/>
                  <w:szCs w:val="20"/>
                </w:rPr>
                <w:t>Consolidated Statements of Cash Flows for the years ended December 31, 2022, 2021 and 202</w:t>
              </w:r>
              <w:r>
                <w:rPr>
                  <w:rStyle w:val="a4"/>
                  <w:sz w:val="20"/>
                  <w:szCs w:val="20"/>
                </w:rPr>
                <w:t>0</w:t>
              </w:r>
            </w:hyperlink>
          </w:p>
        </w:tc>
        <w:tc>
          <w:tcPr>
            <w:tcW w:w="0" w:type="auto"/>
            <w:hideMark/>
          </w:tcPr>
          <w:p w:rsidR="00000000" w:rsidRDefault="006D723D">
            <w:pPr>
              <w:pStyle w:val="a3"/>
              <w:spacing w:before="0" w:beforeAutospacing="0" w:after="0" w:afterAutospacing="0"/>
              <w:rPr>
                <w:sz w:val="20"/>
                <w:szCs w:val="20"/>
              </w:rPr>
            </w:pPr>
            <w:r>
              <w:rPr>
                <w:sz w:val="20"/>
                <w:szCs w:val="20"/>
              </w:rPr>
              <w:t>F</w:t>
            </w:r>
            <w:r>
              <w:rPr>
                <w:sz w:val="20"/>
                <w:szCs w:val="20"/>
              </w:rPr>
              <w:t>-</w:t>
            </w:r>
            <w:r>
              <w:rPr>
                <w:sz w:val="20"/>
                <w:szCs w:val="20"/>
              </w:rPr>
              <w:t>6</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hyperlink w:anchor="consolidated_statements_of_stockholders" w:history="1">
              <w:r>
                <w:rPr>
                  <w:rStyle w:val="a4"/>
                  <w:sz w:val="20"/>
                  <w:szCs w:val="20"/>
                </w:rPr>
                <w:t>Consolidated Statements of S</w:t>
              </w:r>
              <w:r>
                <w:rPr>
                  <w:rStyle w:val="a4"/>
                  <w:sz w:val="20"/>
                  <w:szCs w:val="20"/>
                </w:rPr>
                <w:t>tockholders' Equity for the years ended December 31, 2022, 2021 and 202</w:t>
              </w:r>
              <w:r>
                <w:rPr>
                  <w:rStyle w:val="a4"/>
                  <w:sz w:val="20"/>
                  <w:szCs w:val="20"/>
                </w:rPr>
                <w:t>0</w:t>
              </w:r>
            </w:hyperlink>
          </w:p>
        </w:tc>
        <w:tc>
          <w:tcPr>
            <w:tcW w:w="0" w:type="auto"/>
            <w:hideMark/>
          </w:tcPr>
          <w:p w:rsidR="00000000" w:rsidRDefault="006D723D">
            <w:pPr>
              <w:pStyle w:val="a3"/>
              <w:spacing w:before="0" w:beforeAutospacing="0" w:after="0" w:afterAutospacing="0"/>
              <w:rPr>
                <w:sz w:val="20"/>
                <w:szCs w:val="20"/>
              </w:rPr>
            </w:pPr>
            <w:r>
              <w:rPr>
                <w:sz w:val="20"/>
                <w:szCs w:val="20"/>
              </w:rPr>
              <w:t>F</w:t>
            </w:r>
            <w:r>
              <w:rPr>
                <w:sz w:val="20"/>
                <w:szCs w:val="20"/>
              </w:rPr>
              <w:t>-</w:t>
            </w:r>
            <w:r>
              <w:rPr>
                <w:sz w:val="20"/>
                <w:szCs w:val="20"/>
              </w:rPr>
              <w:t>7</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hyperlink w:anchor="notes_to_consolidated_financial_stateme" w:history="1">
              <w:r>
                <w:rPr>
                  <w:rStyle w:val="a4"/>
                  <w:sz w:val="20"/>
                  <w:szCs w:val="20"/>
                </w:rPr>
                <w:t>Notes to Consolidated Financial Statement</w:t>
              </w:r>
              <w:r>
                <w:rPr>
                  <w:rStyle w:val="a4"/>
                  <w:sz w:val="20"/>
                  <w:szCs w:val="20"/>
                </w:rPr>
                <w:t>s</w:t>
              </w:r>
            </w:hyperlink>
          </w:p>
        </w:tc>
        <w:tc>
          <w:tcPr>
            <w:tcW w:w="0" w:type="auto"/>
            <w:hideMark/>
          </w:tcPr>
          <w:p w:rsidR="00000000" w:rsidRDefault="006D723D">
            <w:pPr>
              <w:pStyle w:val="a3"/>
              <w:spacing w:before="0" w:beforeAutospacing="0" w:after="0" w:afterAutospacing="0"/>
              <w:rPr>
                <w:sz w:val="20"/>
                <w:szCs w:val="20"/>
              </w:rPr>
            </w:pPr>
            <w:r>
              <w:rPr>
                <w:sz w:val="20"/>
                <w:szCs w:val="20"/>
              </w:rPr>
              <w:t>F</w:t>
            </w:r>
            <w:r>
              <w:rPr>
                <w:sz w:val="20"/>
                <w:szCs w:val="20"/>
              </w:rPr>
              <w:t>-</w:t>
            </w:r>
            <w:r>
              <w:rPr>
                <w:sz w:val="20"/>
                <w:szCs w:val="20"/>
              </w:rPr>
              <w:t>8</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hyperlink w:anchor="schedule_iii" w:history="1">
              <w:r>
                <w:rPr>
                  <w:rStyle w:val="a4"/>
                  <w:sz w:val="20"/>
                  <w:szCs w:val="20"/>
                </w:rPr>
                <w:t>Schedule II</w:t>
              </w:r>
              <w:r>
                <w:rPr>
                  <w:rStyle w:val="a4"/>
                  <w:sz w:val="20"/>
                  <w:szCs w:val="20"/>
                </w:rPr>
                <w:t>I</w:t>
              </w:r>
            </w:hyperlink>
          </w:p>
        </w:tc>
        <w:tc>
          <w:tcPr>
            <w:tcW w:w="0" w:type="auto"/>
            <w:hideMark/>
          </w:tcPr>
          <w:p w:rsidR="00000000" w:rsidRDefault="006D723D">
            <w:pPr>
              <w:pStyle w:val="a3"/>
              <w:spacing w:before="0" w:beforeAutospacing="0" w:after="0" w:afterAutospacing="0"/>
              <w:rPr>
                <w:sz w:val="20"/>
                <w:szCs w:val="20"/>
              </w:rPr>
            </w:pPr>
            <w:r>
              <w:rPr>
                <w:sz w:val="20"/>
                <w:szCs w:val="20"/>
              </w:rPr>
              <w:t>F</w:t>
            </w:r>
            <w:r>
              <w:rPr>
                <w:sz w:val="20"/>
                <w:szCs w:val="20"/>
              </w:rPr>
              <w:t>-</w:t>
            </w:r>
            <w:r>
              <w:rPr>
                <w:sz w:val="20"/>
                <w:szCs w:val="20"/>
              </w:rPr>
              <w:t>4</w:t>
            </w:r>
            <w:r>
              <w:rPr>
                <w:sz w:val="20"/>
                <w:szCs w:val="20"/>
              </w:rPr>
              <w:t>1</w:t>
            </w:r>
          </w:p>
        </w:tc>
      </w:tr>
    </w:tbl>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rPr>
          <w:sz w:val="20"/>
          <w:szCs w:val="20"/>
        </w:rPr>
      </w:pPr>
      <w:r>
        <w:rPr>
          <w:sz w:val="23"/>
          <w:szCs w:val="23"/>
        </w:rPr>
        <w:t> </w:t>
      </w:r>
    </w:p>
    <w:p w:rsidR="00000000" w:rsidRDefault="006D723D">
      <w:pPr>
        <w:pStyle w:val="a3"/>
        <w:spacing w:before="0" w:beforeAutospacing="0" w:after="0" w:afterAutospacing="0"/>
        <w:ind w:left="238"/>
        <w:rPr>
          <w:sz w:val="20"/>
          <w:szCs w:val="20"/>
        </w:rPr>
      </w:pPr>
      <w:r>
        <w:rPr>
          <w:sz w:val="20"/>
          <w:szCs w:val="20"/>
        </w:rPr>
        <w:t> </w:t>
      </w:r>
    </w:p>
    <w:p w:rsidR="00000000" w:rsidRDefault="006D723D">
      <w:pPr>
        <w:pStyle w:val="a3"/>
        <w:spacing w:before="0" w:beforeAutospacing="0" w:after="0" w:afterAutospacing="0"/>
        <w:jc w:val="center"/>
        <w:rPr>
          <w:sz w:val="20"/>
          <w:szCs w:val="20"/>
        </w:rPr>
      </w:pPr>
      <w:r>
        <w:rPr>
          <w:sz w:val="20"/>
          <w:szCs w:val="20"/>
        </w:rPr>
        <w:t>F</w:t>
      </w:r>
      <w:r>
        <w:rPr>
          <w:sz w:val="20"/>
          <w:szCs w:val="20"/>
        </w:rPr>
        <w:t>-</w:t>
      </w:r>
      <w:r>
        <w:rPr>
          <w:sz w:val="20"/>
          <w:szCs w:val="20"/>
        </w:rPr>
        <w:t>1</w:t>
      </w:r>
    </w:p>
    <w:p w:rsidR="00000000" w:rsidRDefault="006D723D">
      <w:pPr>
        <w:rPr>
          <w:rFonts w:eastAsia="Times New Roman"/>
        </w:rPr>
      </w:pPr>
      <w:r>
        <w:rPr>
          <w:rFonts w:eastAsia="Times New Roman"/>
        </w:rPr>
        <w:pict>
          <v:rect id="_x0000_i1129"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jc w:val="center"/>
        <w:rPr>
          <w:sz w:val="20"/>
          <w:szCs w:val="20"/>
        </w:rPr>
      </w:pPr>
      <w:r>
        <w:rPr>
          <w:b/>
          <w:bCs/>
          <w:sz w:val="20"/>
          <w:szCs w:val="20"/>
        </w:rPr>
        <w:t>REPORT OF INDEPENDENT REGIS</w:t>
      </w:r>
      <w:r>
        <w:rPr>
          <w:b/>
          <w:bCs/>
          <w:sz w:val="20"/>
          <w:szCs w:val="20"/>
        </w:rPr>
        <w:t>T</w:t>
      </w:r>
      <w:r>
        <w:rPr>
          <w:b/>
          <w:bCs/>
          <w:sz w:val="20"/>
          <w:szCs w:val="20"/>
        </w:rPr>
        <w:t>ERED PUBLIC ACCOUNTING FIR</w:t>
      </w:r>
      <w:r>
        <w:rPr>
          <w:b/>
          <w:bCs/>
          <w:sz w:val="20"/>
          <w:szCs w:val="20"/>
        </w:rPr>
        <w:t>M</w:t>
      </w:r>
    </w:p>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0" w:beforeAutospacing="0" w:after="0" w:afterAutospacing="0"/>
        <w:jc w:val="both"/>
        <w:rPr>
          <w:sz w:val="20"/>
          <w:szCs w:val="20"/>
        </w:rPr>
      </w:pPr>
      <w:r>
        <w:rPr>
          <w:sz w:val="20"/>
          <w:szCs w:val="20"/>
        </w:rPr>
        <w:t>To the Stockholders and the Board of Directors of CoreCivic, Inc</w:t>
      </w:r>
      <w:r>
        <w:rPr>
          <w:sz w:val="20"/>
          <w:szCs w:val="20"/>
        </w:rPr>
        <w:t>.</w:t>
      </w:r>
      <w:r>
        <w:rPr>
          <w:sz w:val="20"/>
          <w:szCs w:val="20"/>
        </w:rPr>
        <w:t xml:space="preserve"> </w:t>
      </w:r>
    </w:p>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0" w:beforeAutospacing="0" w:after="160" w:afterAutospacing="0"/>
        <w:jc w:val="both"/>
        <w:rPr>
          <w:sz w:val="20"/>
          <w:szCs w:val="20"/>
        </w:rPr>
      </w:pPr>
      <w:r>
        <w:rPr>
          <w:b/>
          <w:bCs/>
          <w:sz w:val="20"/>
          <w:szCs w:val="20"/>
        </w:rPr>
        <w:t>Opinion on the Financial Statement</w:t>
      </w:r>
      <w:r>
        <w:rPr>
          <w:b/>
          <w:bCs/>
          <w:sz w:val="20"/>
          <w:szCs w:val="20"/>
        </w:rPr>
        <w:t>s</w:t>
      </w:r>
      <w:r>
        <w:rPr>
          <w:b/>
          <w:bCs/>
          <w:sz w:val="20"/>
          <w:szCs w:val="20"/>
        </w:rPr>
        <w:t xml:space="preserve"> </w:t>
      </w:r>
    </w:p>
    <w:p w:rsidR="00000000" w:rsidRDefault="006D723D">
      <w:pPr>
        <w:pStyle w:val="a3"/>
        <w:spacing w:before="0" w:beforeAutospacing="0" w:after="160" w:afterAutospacing="0"/>
        <w:jc w:val="both"/>
        <w:rPr>
          <w:sz w:val="20"/>
          <w:szCs w:val="20"/>
        </w:rPr>
      </w:pPr>
      <w:r>
        <w:rPr>
          <w:sz w:val="20"/>
          <w:szCs w:val="20"/>
        </w:rPr>
        <w:t>We have audited the accompanying consolidated bala</w:t>
      </w:r>
      <w:r>
        <w:rPr>
          <w:sz w:val="20"/>
          <w:szCs w:val="20"/>
        </w:rPr>
        <w:t>nce sheets of CoreCivic, Inc. and subsidiaries (the Company) as of December 31, 2022 and 2021, the related consolidated statements of operations, stockholders’ equity, and cash flows for each of the three years in the period ended December 31, 2022, and th</w:t>
      </w:r>
      <w:r>
        <w:rPr>
          <w:sz w:val="20"/>
          <w:szCs w:val="20"/>
        </w:rPr>
        <w:t>e related notes and financial statement schedule listed in the Index at Item 15(2) (collectively referred to as the “consolidated financial statements”). In our opinion, the consolidated financial statements present fairly, in all material respects, the fi</w:t>
      </w:r>
      <w:r>
        <w:rPr>
          <w:sz w:val="20"/>
          <w:szCs w:val="20"/>
        </w:rPr>
        <w:t>nancial position of the Company at December 31, 2022 and 2021, and the results of its operations and its cash flows for each of the three years in the period ended December 31, 2022, in conformity with U.S. generally accepted accounting principles</w:t>
      </w:r>
      <w:r>
        <w:rPr>
          <w:sz w:val="20"/>
          <w:szCs w:val="20"/>
        </w:rPr>
        <w:t>.</w:t>
      </w:r>
    </w:p>
    <w:p w:rsidR="00000000" w:rsidRDefault="006D723D">
      <w:pPr>
        <w:pStyle w:val="a3"/>
        <w:spacing w:before="0" w:beforeAutospacing="0" w:after="160" w:afterAutospacing="0"/>
        <w:jc w:val="both"/>
        <w:rPr>
          <w:sz w:val="20"/>
          <w:szCs w:val="20"/>
        </w:rPr>
      </w:pPr>
      <w:r>
        <w:rPr>
          <w:sz w:val="20"/>
          <w:szCs w:val="20"/>
        </w:rPr>
        <w:t>We also</w:t>
      </w:r>
      <w:r>
        <w:rPr>
          <w:sz w:val="20"/>
          <w:szCs w:val="20"/>
        </w:rPr>
        <w:t xml:space="preserve"> have audited, in accordance with the standards of the Public Company Accounting Oversight Board (United States) (PCAOB), the Company's internal control over financial reporting as of December 31, 2022, based on criteria established in Internal Control-Int</w:t>
      </w:r>
      <w:r>
        <w:rPr>
          <w:sz w:val="20"/>
          <w:szCs w:val="20"/>
        </w:rPr>
        <w:t>egrated Framework issued by the Committee of Sponsoring Organizations of the Treadway Commission (2013 framework) and our report dated February 21, 2023 expressed an unqualified opinion thereon</w:t>
      </w:r>
      <w:r>
        <w:rPr>
          <w:sz w:val="20"/>
          <w:szCs w:val="20"/>
        </w:rPr>
        <w:t>.</w:t>
      </w:r>
    </w:p>
    <w:p w:rsidR="00000000" w:rsidRDefault="006D723D">
      <w:pPr>
        <w:pStyle w:val="a3"/>
        <w:spacing w:before="0" w:beforeAutospacing="0" w:after="160" w:afterAutospacing="0"/>
        <w:jc w:val="both"/>
        <w:rPr>
          <w:sz w:val="20"/>
          <w:szCs w:val="20"/>
        </w:rPr>
      </w:pPr>
      <w:r>
        <w:rPr>
          <w:b/>
          <w:bCs/>
          <w:sz w:val="20"/>
          <w:szCs w:val="20"/>
        </w:rPr>
        <w:t>Basis for Opinio</w:t>
      </w:r>
      <w:r>
        <w:rPr>
          <w:b/>
          <w:bCs/>
          <w:sz w:val="20"/>
          <w:szCs w:val="20"/>
        </w:rPr>
        <w:t>n</w:t>
      </w:r>
    </w:p>
    <w:p w:rsidR="00000000" w:rsidRDefault="006D723D">
      <w:pPr>
        <w:pStyle w:val="a3"/>
        <w:spacing w:before="0" w:beforeAutospacing="0" w:after="160" w:afterAutospacing="0"/>
        <w:jc w:val="both"/>
        <w:rPr>
          <w:sz w:val="20"/>
          <w:szCs w:val="20"/>
        </w:rPr>
      </w:pPr>
      <w:r>
        <w:rPr>
          <w:sz w:val="20"/>
          <w:szCs w:val="20"/>
        </w:rPr>
        <w:t>These financial statements are the responsi</w:t>
      </w:r>
      <w:r>
        <w:rPr>
          <w:sz w:val="20"/>
          <w:szCs w:val="20"/>
        </w:rPr>
        <w:t>bility of the Company's management. Our responsibility is to express an opinion on the Company’s consolidated financial statements based on our audits. We are a public accounting firm registered with the PCAOB and are required to be independent with respec</w:t>
      </w:r>
      <w:r>
        <w:rPr>
          <w:sz w:val="20"/>
          <w:szCs w:val="20"/>
        </w:rPr>
        <w:t>t to the Company in accordance with the U.S. federal securities laws and the applicable rules and regulations of the Securities and Exchange Commission and the PCAOB</w:t>
      </w:r>
      <w:r>
        <w:rPr>
          <w:sz w:val="20"/>
          <w:szCs w:val="20"/>
        </w:rPr>
        <w:t>.</w:t>
      </w:r>
    </w:p>
    <w:p w:rsidR="00000000" w:rsidRDefault="006D723D">
      <w:pPr>
        <w:pStyle w:val="a3"/>
        <w:spacing w:before="0" w:beforeAutospacing="0" w:after="160" w:afterAutospacing="0"/>
        <w:jc w:val="both"/>
        <w:rPr>
          <w:sz w:val="20"/>
          <w:szCs w:val="20"/>
        </w:rPr>
      </w:pPr>
      <w:r>
        <w:rPr>
          <w:sz w:val="20"/>
          <w:szCs w:val="20"/>
        </w:rPr>
        <w:t>We conducted our audits in accordance with the standards of the PCAOB. Those standards re</w:t>
      </w:r>
      <w:r>
        <w:rPr>
          <w:sz w:val="20"/>
          <w:szCs w:val="20"/>
        </w:rPr>
        <w:t>quire that we plan and perform the audit to obtain reasonable assurance about whether the financial statements are free of material misstatement, whether due to error or fraud. Our audits included performing procedures to assess the risks of material misst</w:t>
      </w:r>
      <w:r>
        <w:rPr>
          <w:sz w:val="20"/>
          <w:szCs w:val="20"/>
        </w:rPr>
        <w:t xml:space="preserve">atement of the financial statements, whether due to error or fraud, and performing procedures that respond to those risks. Such procedures included examining, on a test basis, evidence regarding the amounts and disclosures in the financial statements. Our </w:t>
      </w:r>
      <w:r>
        <w:rPr>
          <w:sz w:val="20"/>
          <w:szCs w:val="20"/>
        </w:rPr>
        <w:t>audits also included evaluating the accounting principles used and significant estimates made by management, as well as evaluating the overall presentation of the financial statements. We believe that our audits provide a reasonable basis for our opinion</w:t>
      </w:r>
      <w:r>
        <w:rPr>
          <w:sz w:val="20"/>
          <w:szCs w:val="20"/>
        </w:rPr>
        <w:t>.</w:t>
      </w:r>
    </w:p>
    <w:p w:rsidR="00000000" w:rsidRDefault="006D723D">
      <w:pPr>
        <w:pStyle w:val="a3"/>
        <w:spacing w:before="0" w:beforeAutospacing="0" w:after="160" w:afterAutospacing="0"/>
        <w:jc w:val="both"/>
        <w:rPr>
          <w:sz w:val="20"/>
          <w:szCs w:val="20"/>
        </w:rPr>
      </w:pPr>
      <w:r>
        <w:rPr>
          <w:b/>
          <w:bCs/>
          <w:sz w:val="20"/>
          <w:szCs w:val="20"/>
        </w:rPr>
        <w:t>Critical Audit Matte</w:t>
      </w:r>
      <w:r>
        <w:rPr>
          <w:b/>
          <w:bCs/>
          <w:sz w:val="20"/>
          <w:szCs w:val="20"/>
        </w:rPr>
        <w:t>r</w:t>
      </w:r>
    </w:p>
    <w:p w:rsidR="00000000" w:rsidRDefault="006D723D">
      <w:pPr>
        <w:pStyle w:val="a3"/>
        <w:spacing w:before="0" w:beforeAutospacing="0" w:after="0" w:afterAutospacing="0"/>
        <w:jc w:val="both"/>
        <w:rPr>
          <w:sz w:val="20"/>
          <w:szCs w:val="20"/>
        </w:rPr>
      </w:pPr>
      <w:r>
        <w:rPr>
          <w:sz w:val="20"/>
          <w:szCs w:val="20"/>
        </w:rPr>
        <w:t xml:space="preserve">The critical audit matter communicated below is a matter arising from the current period audit of the consolidated financial statements that was communicated or required to be communicated to the audit committee and that: (1) relates </w:t>
      </w:r>
      <w:r>
        <w:rPr>
          <w:sz w:val="20"/>
          <w:szCs w:val="20"/>
        </w:rPr>
        <w:t>to accounts or disclosures that are material to the consolidated financial statements and (2) involved our especially challenging, subjective or complex judgments. The communication of this critical audit matter does not alter in any way our opinion on the</w:t>
      </w:r>
      <w:r>
        <w:rPr>
          <w:sz w:val="20"/>
          <w:szCs w:val="20"/>
        </w:rPr>
        <w:t xml:space="preserve"> consolidated financial statements, taken as a whole, and we are not, by communicating the critical audit matter below, providing a separate opinion on the critical audit matter or on the accounts or disclosures to which it relates</w:t>
      </w:r>
      <w:r>
        <w:rPr>
          <w:sz w:val="20"/>
          <w:szCs w:val="20"/>
        </w:rPr>
        <w:t>.</w: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jc w:val="center"/>
        <w:rPr>
          <w:sz w:val="20"/>
          <w:szCs w:val="20"/>
        </w:rPr>
      </w:pPr>
      <w:r>
        <w:rPr>
          <w:sz w:val="20"/>
          <w:szCs w:val="20"/>
        </w:rPr>
        <w:t>F</w:t>
      </w:r>
      <w:r>
        <w:rPr>
          <w:sz w:val="20"/>
          <w:szCs w:val="20"/>
        </w:rPr>
        <w:t>-</w:t>
      </w:r>
      <w:r>
        <w:rPr>
          <w:sz w:val="20"/>
          <w:szCs w:val="20"/>
        </w:rPr>
        <w:t>2</w:t>
      </w:r>
    </w:p>
    <w:p w:rsidR="00000000" w:rsidRDefault="006D723D">
      <w:pPr>
        <w:rPr>
          <w:rFonts w:eastAsia="Times New Roman"/>
        </w:rPr>
      </w:pPr>
      <w:r>
        <w:rPr>
          <w:rFonts w:eastAsia="Times New Roman"/>
        </w:rPr>
        <w:pict>
          <v:rect id="_x0000_i1130"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15"/>
        <w:gridCol w:w="6291"/>
      </w:tblGrid>
      <w:tr w:rsidR="00000000">
        <w:trPr>
          <w:tblCellSpacing w:w="15" w:type="dxa"/>
        </w:trPr>
        <w:tc>
          <w:tcPr>
            <w:tcW w:w="1199" w:type="pct"/>
            <w:vAlign w:val="center"/>
            <w:hideMark/>
          </w:tcPr>
          <w:p w:rsidR="00000000" w:rsidRDefault="006D723D">
            <w:pPr>
              <w:rPr>
                <w:sz w:val="20"/>
                <w:szCs w:val="20"/>
              </w:rPr>
            </w:pPr>
          </w:p>
        </w:tc>
        <w:tc>
          <w:tcPr>
            <w:tcW w:w="3800" w:type="pct"/>
            <w:vAlign w:val="center"/>
            <w:hideMark/>
          </w:tcPr>
          <w:p w:rsidR="00000000" w:rsidRDefault="006D723D">
            <w:pPr>
              <w:rPr>
                <w:rFonts w:eastAsia="Times New Roman"/>
                <w:sz w:val="20"/>
                <w:szCs w:val="20"/>
              </w:rPr>
            </w:pPr>
          </w:p>
        </w:tc>
      </w:tr>
      <w:tr w:rsidR="00000000">
        <w:trPr>
          <w:trHeight w:val="317"/>
          <w:tblCellSpacing w:w="15" w:type="dxa"/>
        </w:trPr>
        <w:tc>
          <w:tcPr>
            <w:tcW w:w="0" w:type="auto"/>
            <w:tcMar>
              <w:top w:w="14" w:type="dxa"/>
              <w:left w:w="14" w:type="dxa"/>
              <w:bottom w:w="15" w:type="dxa"/>
              <w:right w:w="14" w:type="dxa"/>
            </w:tcMar>
            <w:hideMark/>
          </w:tcPr>
          <w:p w:rsidR="00000000" w:rsidRDefault="006D723D">
            <w:pPr>
              <w:pStyle w:val="a3"/>
              <w:spacing w:before="0" w:beforeAutospacing="0" w:after="0" w:afterAutospacing="0"/>
              <w:rPr>
                <w:sz w:val="20"/>
                <w:szCs w:val="20"/>
              </w:rPr>
            </w:pPr>
            <w:r>
              <w:rPr>
                <w:sz w:val="20"/>
                <w:szCs w:val="20"/>
              </w:rPr>
              <w:t> </w:t>
            </w:r>
          </w:p>
        </w:tc>
        <w:tc>
          <w:tcPr>
            <w:tcW w:w="0" w:type="auto"/>
            <w:tcMar>
              <w:top w:w="14" w:type="dxa"/>
              <w:left w:w="14" w:type="dxa"/>
              <w:bottom w:w="15" w:type="dxa"/>
              <w:right w:w="14" w:type="dxa"/>
            </w:tcMar>
            <w:hideMark/>
          </w:tcPr>
          <w:p w:rsidR="00000000" w:rsidRDefault="006D723D">
            <w:pPr>
              <w:pStyle w:val="a3"/>
              <w:spacing w:before="0" w:beforeAutospacing="0" w:after="0" w:afterAutospacing="0"/>
              <w:rPr>
                <w:sz w:val="20"/>
                <w:szCs w:val="20"/>
              </w:rPr>
            </w:pPr>
            <w:r>
              <w:rPr>
                <w:b/>
                <w:bCs/>
                <w:i/>
                <w:iCs/>
                <w:sz w:val="20"/>
                <w:szCs w:val="20"/>
              </w:rPr>
              <w:t>Impairment of Long-Lived Asset</w:t>
            </w:r>
            <w:r>
              <w:rPr>
                <w:b/>
                <w:bCs/>
                <w:i/>
                <w:iCs/>
                <w:sz w:val="20"/>
                <w:szCs w:val="20"/>
              </w:rPr>
              <w:t>s</w:t>
            </w:r>
          </w:p>
        </w:tc>
      </w:tr>
      <w:tr w:rsidR="00000000">
        <w:trPr>
          <w:trHeight w:val="1008"/>
          <w:tblCellSpacing w:w="15" w:type="dxa"/>
        </w:trPr>
        <w:tc>
          <w:tcPr>
            <w:tcW w:w="0" w:type="auto"/>
            <w:tcMar>
              <w:top w:w="14" w:type="dxa"/>
              <w:left w:w="14" w:type="dxa"/>
              <w:bottom w:w="15" w:type="dxa"/>
              <w:right w:w="14" w:type="dxa"/>
            </w:tcMar>
            <w:hideMark/>
          </w:tcPr>
          <w:p w:rsidR="00000000" w:rsidRDefault="006D723D">
            <w:pPr>
              <w:pStyle w:val="a3"/>
              <w:spacing w:before="0" w:beforeAutospacing="0" w:after="0" w:afterAutospacing="0"/>
              <w:jc w:val="both"/>
              <w:rPr>
                <w:sz w:val="20"/>
                <w:szCs w:val="20"/>
              </w:rPr>
            </w:pPr>
            <w:r>
              <w:rPr>
                <w:i/>
                <w:iCs/>
                <w:sz w:val="20"/>
                <w:szCs w:val="20"/>
              </w:rPr>
              <w:t>Description of the Matte</w:t>
            </w:r>
            <w:r>
              <w:rPr>
                <w:i/>
                <w:iCs/>
                <w:sz w:val="20"/>
                <w:szCs w:val="20"/>
              </w:rPr>
              <w:t>r</w:t>
            </w:r>
          </w:p>
        </w:tc>
        <w:tc>
          <w:tcPr>
            <w:tcW w:w="0" w:type="auto"/>
            <w:tcMar>
              <w:top w:w="14" w:type="dxa"/>
              <w:left w:w="14" w:type="dxa"/>
              <w:bottom w:w="15" w:type="dxa"/>
              <w:right w:w="14" w:type="dxa"/>
            </w:tcMar>
            <w:hideMark/>
          </w:tcPr>
          <w:p w:rsidR="00000000" w:rsidRDefault="006D723D">
            <w:pPr>
              <w:pStyle w:val="a3"/>
              <w:spacing w:before="0" w:beforeAutospacing="0" w:after="0" w:afterAutospacing="0"/>
              <w:jc w:val="both"/>
              <w:rPr>
                <w:sz w:val="20"/>
                <w:szCs w:val="20"/>
              </w:rPr>
            </w:pPr>
            <w:r>
              <w:rPr>
                <w:sz w:val="20"/>
                <w:szCs w:val="20"/>
              </w:rPr>
              <w:t>At December 31, 2022, the Company’</w:t>
            </w:r>
            <w:r>
              <w:rPr>
                <w:sz w:val="20"/>
                <w:szCs w:val="20"/>
              </w:rPr>
              <w:t>s property and equipment, net of accumulated depreciation, was $2.2 billion, which includes $195.6 million related to seven idle correctional facilities and $6.5 million related to other idle facilities. As discussed in Note 2 and Note 6 to the consolidate</w:t>
            </w:r>
            <w:r>
              <w:rPr>
                <w:sz w:val="20"/>
                <w:szCs w:val="20"/>
              </w:rPr>
              <w:t xml:space="preserve">d financial statements, long-lived assets other than goodwill are reviewed for impairment when circumstances indicate the carrying value of an asset may not be recoverable. The Company estimates undiscounted cash flows for each facility with an impairment </w:t>
            </w:r>
            <w:r>
              <w:rPr>
                <w:sz w:val="20"/>
                <w:szCs w:val="20"/>
              </w:rPr>
              <w:t>indicator, including the idle facilities described above. When the estimated undiscounted cash flows associated with the asset or group of assets are less than their carrying value, an impairment is recognized as the difference between the carrying value o</w:t>
            </w:r>
            <w:r>
              <w:rPr>
                <w:sz w:val="20"/>
                <w:szCs w:val="20"/>
              </w:rPr>
              <w:t>f the asset and its fair value</w:t>
            </w:r>
            <w:r>
              <w:rPr>
                <w:sz w:val="20"/>
                <w:szCs w:val="20"/>
              </w:rPr>
              <w:t>.</w:t>
            </w:r>
            <w:r>
              <w:rPr>
                <w:sz w:val="20"/>
                <w:szCs w:val="20"/>
              </w:rPr>
              <w:t xml:space="preserve"> </w:t>
            </w:r>
          </w:p>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0" w:beforeAutospacing="0" w:after="0" w:afterAutospacing="0"/>
              <w:jc w:val="both"/>
              <w:rPr>
                <w:sz w:val="20"/>
                <w:szCs w:val="20"/>
              </w:rPr>
            </w:pPr>
            <w:r>
              <w:rPr>
                <w:sz w:val="20"/>
                <w:szCs w:val="20"/>
              </w:rPr>
              <w:t>Auditing management’</w:t>
            </w:r>
            <w:r>
              <w:rPr>
                <w:sz w:val="20"/>
                <w:szCs w:val="20"/>
              </w:rPr>
              <w:t xml:space="preserve">s evaluation of long-lived assets for impairment was subjective due to the estimation uncertainty in determining the future undiscounted cash flows of facilities where indicators of impairment are determined to be present. These estimates are particularly </w:t>
            </w:r>
            <w:r>
              <w:rPr>
                <w:sz w:val="20"/>
                <w:szCs w:val="20"/>
              </w:rPr>
              <w:t>sensitive to the assumption as to whether and when the Company will obtain contracts to utilize idle facilities in the future, which can be affected by expectations about market developments and public policy as well as management’s intent to hold and oper</w:t>
            </w:r>
            <w:r>
              <w:rPr>
                <w:sz w:val="20"/>
                <w:szCs w:val="20"/>
              </w:rPr>
              <w:t>ate each facility over the term and in the manner assumed in the analysis</w:t>
            </w:r>
            <w:r>
              <w:rPr>
                <w:sz w:val="20"/>
                <w:szCs w:val="20"/>
              </w:rPr>
              <w:t>.</w:t>
            </w:r>
          </w:p>
          <w:p w:rsidR="00000000" w:rsidRDefault="006D723D">
            <w:pPr>
              <w:pStyle w:val="a3"/>
              <w:spacing w:before="0" w:beforeAutospacing="0" w:after="0" w:afterAutospacing="0"/>
              <w:jc w:val="both"/>
              <w:rPr>
                <w:sz w:val="20"/>
                <w:szCs w:val="20"/>
              </w:rPr>
            </w:pPr>
            <w:r>
              <w:rPr>
                <w:sz w:val="20"/>
                <w:szCs w:val="20"/>
              </w:rPr>
              <w:t> </w:t>
            </w:r>
          </w:p>
        </w:tc>
      </w:tr>
      <w:tr w:rsidR="00000000">
        <w:trPr>
          <w:trHeight w:val="1296"/>
          <w:tblCellSpacing w:w="15" w:type="dxa"/>
        </w:trPr>
        <w:tc>
          <w:tcPr>
            <w:tcW w:w="0" w:type="auto"/>
            <w:tcMar>
              <w:top w:w="14" w:type="dxa"/>
              <w:left w:w="14" w:type="dxa"/>
              <w:bottom w:w="15" w:type="dxa"/>
              <w:right w:w="14" w:type="dxa"/>
            </w:tcMar>
            <w:hideMark/>
          </w:tcPr>
          <w:p w:rsidR="00000000" w:rsidRDefault="006D723D">
            <w:pPr>
              <w:pStyle w:val="a3"/>
              <w:spacing w:before="0" w:beforeAutospacing="0" w:after="0" w:afterAutospacing="0"/>
              <w:rPr>
                <w:sz w:val="20"/>
                <w:szCs w:val="20"/>
              </w:rPr>
            </w:pPr>
            <w:r>
              <w:rPr>
                <w:i/>
                <w:iCs/>
                <w:sz w:val="20"/>
                <w:szCs w:val="20"/>
              </w:rPr>
              <w:t>How We Addressed the Matter in Our Audi</w:t>
            </w:r>
            <w:r>
              <w:rPr>
                <w:i/>
                <w:iCs/>
                <w:sz w:val="20"/>
                <w:szCs w:val="20"/>
              </w:rPr>
              <w:t>t</w:t>
            </w:r>
          </w:p>
        </w:tc>
        <w:tc>
          <w:tcPr>
            <w:tcW w:w="0" w:type="auto"/>
            <w:tcMar>
              <w:top w:w="14" w:type="dxa"/>
              <w:left w:w="14" w:type="dxa"/>
              <w:bottom w:w="15" w:type="dxa"/>
              <w:right w:w="14" w:type="dxa"/>
            </w:tcMar>
            <w:hideMark/>
          </w:tcPr>
          <w:p w:rsidR="00000000" w:rsidRDefault="006D723D">
            <w:pPr>
              <w:pStyle w:val="a3"/>
              <w:spacing w:before="0" w:beforeAutospacing="0" w:after="0" w:afterAutospacing="0"/>
              <w:jc w:val="both"/>
              <w:rPr>
                <w:sz w:val="20"/>
                <w:szCs w:val="20"/>
              </w:rPr>
            </w:pPr>
            <w:r>
              <w:rPr>
                <w:sz w:val="20"/>
                <w:szCs w:val="20"/>
              </w:rPr>
              <w:t>We obtained an understanding, evaluated the design and tested the operating effectiveness of controls over the Company’s long-lived asset</w:t>
            </w:r>
            <w:r>
              <w:rPr>
                <w:sz w:val="20"/>
                <w:szCs w:val="20"/>
              </w:rPr>
              <w:t xml:space="preserve"> impairment review process, including controls over management’s review of assumptions supporting the projected utilization of idle facilities and the estimated undiscounted cash flows for each facility</w:t>
            </w:r>
            <w:r>
              <w:rPr>
                <w:sz w:val="20"/>
                <w:szCs w:val="20"/>
              </w:rPr>
              <w:t>.</w:t>
            </w:r>
            <w:r>
              <w:rPr>
                <w:sz w:val="20"/>
                <w:szCs w:val="20"/>
              </w:rPr>
              <w:t xml:space="preserve"> </w:t>
            </w:r>
          </w:p>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0" w:beforeAutospacing="0" w:after="0" w:afterAutospacing="0"/>
              <w:jc w:val="both"/>
              <w:rPr>
                <w:sz w:val="20"/>
                <w:szCs w:val="20"/>
              </w:rPr>
            </w:pPr>
            <w:r>
              <w:rPr>
                <w:sz w:val="20"/>
                <w:szCs w:val="20"/>
              </w:rPr>
              <w:t>To test the Company’s long-lived asset impairment</w:t>
            </w:r>
            <w:r>
              <w:rPr>
                <w:sz w:val="20"/>
                <w:szCs w:val="20"/>
              </w:rPr>
              <w:t xml:space="preserve"> analysis, we performed audit procedures that included, among others, evaluating evidence to support the projected utilization of facilities and to support recoverability of net book values based on anticipated cash flows. We also performed sensitivity ana</w:t>
            </w:r>
            <w:r>
              <w:rPr>
                <w:sz w:val="20"/>
                <w:szCs w:val="20"/>
              </w:rPr>
              <w:t>lyses to evaluate the impact of changes in assumptions on estimated undiscounted cash flows</w:t>
            </w:r>
            <w:r>
              <w:rPr>
                <w:sz w:val="20"/>
                <w:szCs w:val="20"/>
              </w:rPr>
              <w:t>.</w:t>
            </w:r>
          </w:p>
          <w:p w:rsidR="00000000" w:rsidRDefault="006D723D">
            <w:pPr>
              <w:pStyle w:val="a3"/>
              <w:spacing w:before="0" w:beforeAutospacing="0" w:after="0" w:afterAutospacing="0"/>
              <w:jc w:val="both"/>
              <w:rPr>
                <w:sz w:val="20"/>
                <w:szCs w:val="20"/>
              </w:rPr>
            </w:pPr>
            <w:r>
              <w:rPr>
                <w:sz w:val="20"/>
                <w:szCs w:val="20"/>
              </w:rPr>
              <w:t> </w:t>
            </w:r>
          </w:p>
        </w:tc>
      </w:tr>
    </w:tbl>
    <w:p w:rsidR="00000000" w:rsidRDefault="006D723D">
      <w:pPr>
        <w:pStyle w:val="a3"/>
        <w:spacing w:before="0" w:beforeAutospacing="0" w:after="0" w:afterAutospacing="0"/>
        <w:jc w:val="both"/>
        <w:rPr>
          <w:sz w:val="20"/>
          <w:szCs w:val="20"/>
        </w:rPr>
      </w:pPr>
      <w:r>
        <w:rPr>
          <w:sz w:val="10"/>
          <w:szCs w:val="10"/>
        </w:rPr>
        <w:t> </w:t>
      </w:r>
    </w:p>
    <w:p w:rsidR="00000000" w:rsidRDefault="006D723D">
      <w:pPr>
        <w:pStyle w:val="a3"/>
        <w:spacing w:before="0" w:beforeAutospacing="0" w:after="0" w:afterAutospacing="0"/>
        <w:jc w:val="both"/>
        <w:rPr>
          <w:sz w:val="20"/>
          <w:szCs w:val="20"/>
        </w:rPr>
      </w:pPr>
      <w:r>
        <w:rPr>
          <w:sz w:val="10"/>
          <w:szCs w:val="1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74"/>
        <w:gridCol w:w="118"/>
        <w:gridCol w:w="2414"/>
      </w:tblGrid>
      <w:tr w:rsidR="00000000">
        <w:trPr>
          <w:tblCellSpacing w:w="15" w:type="dxa"/>
        </w:trPr>
        <w:tc>
          <w:tcPr>
            <w:tcW w:w="3500" w:type="pct"/>
            <w:vAlign w:val="center"/>
            <w:hideMark/>
          </w:tcPr>
          <w:p w:rsidR="00000000" w:rsidRDefault="006D723D">
            <w:pPr>
              <w:rPr>
                <w:sz w:val="20"/>
                <w:szCs w:val="20"/>
              </w:rPr>
            </w:pPr>
          </w:p>
        </w:tc>
        <w:tc>
          <w:tcPr>
            <w:tcW w:w="50" w:type="pct"/>
            <w:vAlign w:val="center"/>
            <w:hideMark/>
          </w:tcPr>
          <w:p w:rsidR="00000000" w:rsidRDefault="006D723D">
            <w:pPr>
              <w:rPr>
                <w:rFonts w:eastAsia="Times New Roman"/>
                <w:sz w:val="20"/>
                <w:szCs w:val="20"/>
              </w:rPr>
            </w:pPr>
          </w:p>
        </w:tc>
        <w:tc>
          <w:tcPr>
            <w:tcW w:w="1449" w:type="pct"/>
            <w:vAlign w:val="center"/>
            <w:hideMark/>
          </w:tcPr>
          <w:p w:rsidR="00000000" w:rsidRDefault="006D723D">
            <w:pPr>
              <w:rPr>
                <w:rFonts w:eastAsia="Times New Roman"/>
                <w:sz w:val="20"/>
                <w:szCs w:val="20"/>
              </w:rPr>
            </w:pP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/s/</w:t>
            </w:r>
            <w:r>
              <w:rPr>
                <w:sz w:val="20"/>
                <w:szCs w:val="20"/>
              </w:rPr>
              <w:t xml:space="preserve"> </w:t>
            </w:r>
            <w:r>
              <w:rPr>
                <w:sz w:val="20"/>
                <w:szCs w:val="20"/>
              </w:rPr>
              <w:t>Ernst &amp; Young LL</w:t>
            </w:r>
            <w:r>
              <w:rPr>
                <w:sz w:val="20"/>
                <w:szCs w:val="20"/>
              </w:rPr>
              <w:t>P</w:t>
            </w:r>
          </w:p>
        </w:tc>
        <w:tc>
          <w:tcPr>
            <w:tcW w:w="0" w:type="auto"/>
            <w:hideMark/>
          </w:tcPr>
          <w:p w:rsidR="00000000" w:rsidRDefault="006D723D">
            <w:pPr>
              <w:pStyle w:val="a3"/>
              <w:spacing w:before="0" w:beforeAutospacing="0" w:after="0" w:afterAutospacing="0"/>
              <w:jc w:val="both"/>
              <w:rPr>
                <w:sz w:val="23"/>
                <w:szCs w:val="23"/>
              </w:rPr>
            </w:pPr>
            <w:r>
              <w:rPr>
                <w:sz w:val="23"/>
                <w:szCs w:val="23"/>
              </w:rPr>
              <w:t> </w:t>
            </w:r>
          </w:p>
        </w:tc>
        <w:tc>
          <w:tcPr>
            <w:tcW w:w="0" w:type="auto"/>
            <w:hideMark/>
          </w:tcPr>
          <w:p w:rsidR="00000000" w:rsidRDefault="006D723D">
            <w:pPr>
              <w:pStyle w:val="a3"/>
              <w:spacing w:before="0" w:beforeAutospacing="0" w:after="0" w:afterAutospacing="0"/>
              <w:jc w:val="both"/>
              <w:rPr>
                <w:sz w:val="23"/>
                <w:szCs w:val="23"/>
              </w:rPr>
            </w:pPr>
            <w:r>
              <w:rPr>
                <w:sz w:val="23"/>
                <w:szCs w:val="23"/>
              </w:rPr>
              <w:t> </w:t>
            </w:r>
          </w:p>
        </w:tc>
      </w:tr>
      <w:tr w:rsidR="00000000">
        <w:trPr>
          <w:tblCellSpacing w:w="15" w:type="dxa"/>
        </w:trPr>
        <w:tc>
          <w:tcPr>
            <w:tcW w:w="0" w:type="auto"/>
            <w:hideMark/>
          </w:tcPr>
          <w:p w:rsidR="00000000" w:rsidRDefault="006D723D">
            <w:pPr>
              <w:pStyle w:val="a3"/>
              <w:spacing w:before="0" w:beforeAutospacing="0" w:after="0" w:afterAutospacing="0"/>
              <w:jc w:val="both"/>
              <w:rPr>
                <w:sz w:val="23"/>
                <w:szCs w:val="23"/>
              </w:rPr>
            </w:pPr>
            <w:r>
              <w:rPr>
                <w:sz w:val="23"/>
                <w:szCs w:val="23"/>
              </w:rPr>
              <w:t> </w:t>
            </w:r>
          </w:p>
        </w:tc>
        <w:tc>
          <w:tcPr>
            <w:tcW w:w="0" w:type="auto"/>
            <w:hideMark/>
          </w:tcPr>
          <w:p w:rsidR="00000000" w:rsidRDefault="006D723D">
            <w:pPr>
              <w:pStyle w:val="a3"/>
              <w:spacing w:before="0" w:beforeAutospacing="0" w:after="0" w:afterAutospacing="0"/>
              <w:jc w:val="both"/>
              <w:rPr>
                <w:sz w:val="23"/>
                <w:szCs w:val="23"/>
              </w:rPr>
            </w:pPr>
            <w:r>
              <w:rPr>
                <w:sz w:val="23"/>
                <w:szCs w:val="23"/>
              </w:rPr>
              <w:t> </w:t>
            </w:r>
          </w:p>
        </w:tc>
        <w:tc>
          <w:tcPr>
            <w:tcW w:w="0" w:type="auto"/>
            <w:hideMark/>
          </w:tcPr>
          <w:p w:rsidR="00000000" w:rsidRDefault="006D723D">
            <w:pPr>
              <w:pStyle w:val="a3"/>
              <w:spacing w:before="0" w:beforeAutospacing="0" w:after="0" w:afterAutospacing="0"/>
              <w:jc w:val="both"/>
              <w:rPr>
                <w:sz w:val="23"/>
                <w:szCs w:val="23"/>
              </w:rPr>
            </w:pPr>
            <w:r>
              <w:rPr>
                <w:sz w:val="23"/>
                <w:szCs w:val="23"/>
              </w:rPr>
              <w:t> </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We have served as the Company’s auditor since 2002</w:t>
            </w:r>
            <w:r>
              <w:rPr>
                <w:sz w:val="20"/>
                <w:szCs w:val="20"/>
              </w:rPr>
              <w:t>.</w:t>
            </w:r>
          </w:p>
        </w:tc>
        <w:tc>
          <w:tcPr>
            <w:tcW w:w="0" w:type="auto"/>
            <w:hideMark/>
          </w:tcPr>
          <w:p w:rsidR="00000000" w:rsidRDefault="006D723D">
            <w:pPr>
              <w:pStyle w:val="a3"/>
              <w:spacing w:before="0" w:beforeAutospacing="0" w:after="0" w:afterAutospacing="0"/>
              <w:jc w:val="both"/>
              <w:rPr>
                <w:sz w:val="23"/>
                <w:szCs w:val="23"/>
              </w:rPr>
            </w:pPr>
            <w:r>
              <w:rPr>
                <w:sz w:val="23"/>
                <w:szCs w:val="23"/>
              </w:rPr>
              <w:t> </w:t>
            </w:r>
          </w:p>
        </w:tc>
        <w:tc>
          <w:tcPr>
            <w:tcW w:w="0" w:type="auto"/>
            <w:hideMark/>
          </w:tcPr>
          <w:p w:rsidR="00000000" w:rsidRDefault="006D723D">
            <w:pPr>
              <w:pStyle w:val="a3"/>
              <w:spacing w:before="0" w:beforeAutospacing="0" w:after="0" w:afterAutospacing="0"/>
              <w:jc w:val="both"/>
              <w:rPr>
                <w:sz w:val="23"/>
                <w:szCs w:val="23"/>
              </w:rPr>
            </w:pPr>
            <w:r>
              <w:rPr>
                <w:sz w:val="23"/>
                <w:szCs w:val="23"/>
              </w:rPr>
              <w:t> </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Nashville, Tennesse</w:t>
            </w:r>
            <w:r>
              <w:rPr>
                <w:sz w:val="20"/>
                <w:szCs w:val="20"/>
              </w:rPr>
              <w:t>e</w:t>
            </w:r>
          </w:p>
        </w:tc>
        <w:tc>
          <w:tcPr>
            <w:tcW w:w="0" w:type="auto"/>
            <w:hideMark/>
          </w:tcPr>
          <w:p w:rsidR="00000000" w:rsidRDefault="006D723D">
            <w:pPr>
              <w:pStyle w:val="a3"/>
              <w:spacing w:before="0" w:beforeAutospacing="0" w:after="0" w:afterAutospacing="0"/>
              <w:jc w:val="both"/>
              <w:rPr>
                <w:sz w:val="23"/>
                <w:szCs w:val="23"/>
              </w:rPr>
            </w:pPr>
            <w:r>
              <w:rPr>
                <w:sz w:val="23"/>
                <w:szCs w:val="23"/>
              </w:rPr>
              <w:t> </w:t>
            </w:r>
          </w:p>
        </w:tc>
        <w:tc>
          <w:tcPr>
            <w:tcW w:w="0" w:type="auto"/>
            <w:hideMark/>
          </w:tcPr>
          <w:p w:rsidR="00000000" w:rsidRDefault="006D723D">
            <w:pPr>
              <w:pStyle w:val="a3"/>
              <w:spacing w:before="0" w:beforeAutospacing="0" w:after="0" w:afterAutospacing="0"/>
              <w:jc w:val="both"/>
              <w:rPr>
                <w:sz w:val="23"/>
                <w:szCs w:val="23"/>
              </w:rPr>
            </w:pPr>
            <w:r>
              <w:rPr>
                <w:sz w:val="23"/>
                <w:szCs w:val="23"/>
              </w:rPr>
              <w:t> </w:t>
            </w:r>
          </w:p>
        </w:tc>
      </w:tr>
      <w:tr w:rsidR="00000000">
        <w:trPr>
          <w:trHeight w:val="200"/>
          <w:tblCellSpacing w:w="15" w:type="dxa"/>
        </w:trPr>
        <w:tc>
          <w:tcPr>
            <w:tcW w:w="0" w:type="auto"/>
            <w:hideMark/>
          </w:tcPr>
          <w:p w:rsidR="00000000" w:rsidRDefault="006D723D">
            <w:pPr>
              <w:pStyle w:val="a3"/>
              <w:spacing w:before="0" w:beforeAutospacing="0" w:after="0" w:afterAutospacing="0"/>
              <w:jc w:val="both"/>
              <w:rPr>
                <w:sz w:val="20"/>
                <w:szCs w:val="20"/>
              </w:rPr>
            </w:pPr>
            <w:r>
              <w:rPr>
                <w:sz w:val="20"/>
                <w:szCs w:val="20"/>
              </w:rPr>
              <w:t>February 21, 202</w:t>
            </w:r>
            <w:r>
              <w:rPr>
                <w:sz w:val="20"/>
                <w:szCs w:val="20"/>
              </w:rPr>
              <w:t>3</w:t>
            </w:r>
          </w:p>
        </w:tc>
        <w:tc>
          <w:tcPr>
            <w:tcW w:w="0" w:type="auto"/>
            <w:hideMark/>
          </w:tcPr>
          <w:p w:rsidR="00000000" w:rsidRDefault="006D723D">
            <w:pPr>
              <w:pStyle w:val="a3"/>
              <w:spacing w:before="0" w:beforeAutospacing="0" w:after="0" w:afterAutospacing="0"/>
              <w:jc w:val="both"/>
              <w:rPr>
                <w:sz w:val="23"/>
                <w:szCs w:val="23"/>
              </w:rPr>
            </w:pPr>
            <w:r>
              <w:rPr>
                <w:sz w:val="23"/>
                <w:szCs w:val="23"/>
              </w:rPr>
              <w:t> </w:t>
            </w:r>
          </w:p>
        </w:tc>
        <w:tc>
          <w:tcPr>
            <w:tcW w:w="0" w:type="auto"/>
            <w:hideMark/>
          </w:tcPr>
          <w:p w:rsidR="00000000" w:rsidRDefault="006D723D">
            <w:pPr>
              <w:pStyle w:val="a3"/>
              <w:spacing w:before="0" w:beforeAutospacing="0" w:after="0" w:afterAutospacing="0"/>
              <w:jc w:val="both"/>
              <w:rPr>
                <w:sz w:val="23"/>
                <w:szCs w:val="23"/>
              </w:rPr>
            </w:pPr>
            <w:r>
              <w:rPr>
                <w:sz w:val="23"/>
                <w:szCs w:val="23"/>
              </w:rPr>
              <w:t> </w:t>
            </w:r>
          </w:p>
        </w:tc>
      </w:tr>
    </w:tbl>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0" w:beforeAutospacing="0" w:after="0" w:afterAutospacing="0"/>
        <w:jc w:val="center"/>
        <w:rPr>
          <w:sz w:val="20"/>
          <w:szCs w:val="20"/>
        </w:rPr>
      </w:pPr>
      <w:r>
        <w:rPr>
          <w:sz w:val="20"/>
          <w:szCs w:val="20"/>
        </w:rPr>
        <w:t>F</w:t>
      </w:r>
      <w:r>
        <w:rPr>
          <w:sz w:val="20"/>
          <w:szCs w:val="20"/>
        </w:rPr>
        <w:t>-</w:t>
      </w:r>
      <w:r>
        <w:rPr>
          <w:sz w:val="20"/>
          <w:szCs w:val="20"/>
        </w:rPr>
        <w:t>3</w:t>
      </w:r>
    </w:p>
    <w:p w:rsidR="00000000" w:rsidRDefault="006D723D">
      <w:pPr>
        <w:rPr>
          <w:rFonts w:eastAsia="Times New Roman"/>
        </w:rPr>
      </w:pPr>
      <w:r>
        <w:rPr>
          <w:rFonts w:eastAsia="Times New Roman"/>
        </w:rPr>
        <w:pict>
          <v:rect id="_x0000_i1131"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jc w:val="center"/>
        <w:rPr>
          <w:sz w:val="20"/>
          <w:szCs w:val="20"/>
        </w:rPr>
      </w:pPr>
      <w:r>
        <w:rPr>
          <w:b/>
          <w:bCs/>
          <w:sz w:val="20"/>
          <w:szCs w:val="20"/>
        </w:rPr>
        <w:t>CORECIVIC, INC. AND SUBSIDIARIE</w:t>
      </w:r>
      <w:r>
        <w:rPr>
          <w:b/>
          <w:bCs/>
          <w:sz w:val="20"/>
          <w:szCs w:val="20"/>
        </w:rPr>
        <w:t>S</w:t>
      </w:r>
    </w:p>
    <w:p w:rsidR="00000000" w:rsidRDefault="006D723D">
      <w:pPr>
        <w:pStyle w:val="a3"/>
        <w:spacing w:before="0" w:beforeAutospacing="0" w:after="0" w:afterAutospacing="0"/>
        <w:jc w:val="center"/>
        <w:rPr>
          <w:sz w:val="20"/>
          <w:szCs w:val="20"/>
        </w:rPr>
      </w:pPr>
      <w:r>
        <w:rPr>
          <w:b/>
          <w:bCs/>
          <w:sz w:val="20"/>
          <w:szCs w:val="20"/>
        </w:rPr>
        <w:t xml:space="preserve">CONSOLIDATED </w:t>
      </w:r>
      <w:r>
        <w:rPr>
          <w:b/>
          <w:bCs/>
          <w:sz w:val="20"/>
          <w:szCs w:val="20"/>
        </w:rPr>
        <w:t>B</w:t>
      </w:r>
      <w:r>
        <w:rPr>
          <w:b/>
          <w:bCs/>
          <w:sz w:val="20"/>
          <w:szCs w:val="20"/>
        </w:rPr>
        <w:t>ALANCE SHEET</w:t>
      </w:r>
      <w:r>
        <w:rPr>
          <w:b/>
          <w:bCs/>
          <w:sz w:val="20"/>
          <w:szCs w:val="20"/>
        </w:rPr>
        <w:t>S</w:t>
      </w:r>
    </w:p>
    <w:p w:rsidR="00000000" w:rsidRDefault="006D723D">
      <w:pPr>
        <w:pStyle w:val="a3"/>
        <w:spacing w:before="0" w:beforeAutospacing="0" w:after="0" w:afterAutospacing="0"/>
        <w:jc w:val="center"/>
        <w:rPr>
          <w:sz w:val="20"/>
          <w:szCs w:val="20"/>
        </w:rPr>
      </w:pPr>
      <w:r>
        <w:rPr>
          <w:sz w:val="20"/>
          <w:szCs w:val="20"/>
        </w:rPr>
        <w:t>(in thousands, except per share data</w:t>
      </w:r>
      <w:r>
        <w:rPr>
          <w:sz w:val="20"/>
          <w:szCs w:val="20"/>
        </w:rPr>
        <w:t>)</w:t>
      </w:r>
    </w:p>
    <w:p w:rsidR="00000000" w:rsidRDefault="006D723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2"/>
        <w:gridCol w:w="131"/>
        <w:gridCol w:w="160"/>
        <w:gridCol w:w="1048"/>
        <w:gridCol w:w="127"/>
        <w:gridCol w:w="132"/>
        <w:gridCol w:w="160"/>
        <w:gridCol w:w="1054"/>
        <w:gridCol w:w="142"/>
      </w:tblGrid>
      <w:tr w:rsidR="00000000">
        <w:trPr>
          <w:tblCellSpacing w:w="15" w:type="dxa"/>
        </w:trPr>
        <w:tc>
          <w:tcPr>
            <w:tcW w:w="3329" w:type="pct"/>
            <w:vAlign w:val="center"/>
            <w:hideMark/>
          </w:tcPr>
          <w:p w:rsidR="00000000" w:rsidRDefault="006D723D">
            <w:pPr>
              <w:rPr>
                <w:sz w:val="20"/>
                <w:szCs w:val="20"/>
              </w:rPr>
            </w:pPr>
          </w:p>
        </w:tc>
        <w:tc>
          <w:tcPr>
            <w:tcW w:w="80"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5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80"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5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6D723D">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6D723D">
            <w:pPr>
              <w:pStyle w:val="a3"/>
              <w:spacing w:before="0" w:beforeAutospacing="0" w:after="0" w:afterAutospacing="0"/>
              <w:jc w:val="center"/>
              <w:rPr>
                <w:sz w:val="20"/>
                <w:szCs w:val="20"/>
              </w:rPr>
            </w:pPr>
            <w:r>
              <w:rPr>
                <w:b/>
                <w:bCs/>
                <w:sz w:val="20"/>
                <w:szCs w:val="20"/>
              </w:rPr>
              <w:t>ASSET</w:t>
            </w:r>
            <w:r>
              <w:rPr>
                <w:b/>
                <w:bCs/>
                <w:sz w:val="20"/>
                <w:szCs w:val="20"/>
              </w:rPr>
              <w:t>S</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Cash and cash equivalent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149,40</w:t>
            </w:r>
            <w:r>
              <w:rPr>
                <w:b/>
                <w:bCs/>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299,64</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Restricted cas</w:t>
            </w:r>
            <w:r>
              <w:rPr>
                <w:sz w:val="20"/>
                <w:szCs w:val="20"/>
              </w:rPr>
              <w:t>h</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12,76</w:t>
            </w:r>
            <w:r>
              <w:rPr>
                <w:b/>
                <w:bCs/>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11,06</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 xml:space="preserve">Accounts receivable, net of credit loss reserve of </w:t>
            </w:r>
            <w:r>
              <w:rPr>
                <w:sz w:val="20"/>
                <w:szCs w:val="20"/>
              </w:rPr>
              <w:t>$</w:t>
            </w:r>
            <w:r>
              <w:rPr>
                <w:sz w:val="20"/>
                <w:szCs w:val="20"/>
              </w:rPr>
              <w:t>8,00</w:t>
            </w:r>
            <w:r>
              <w:rPr>
                <w:sz w:val="20"/>
                <w:szCs w:val="20"/>
              </w:rPr>
              <w:t>8</w:t>
            </w:r>
            <w:r>
              <w:rPr>
                <w:sz w:val="20"/>
                <w:szCs w:val="20"/>
              </w:rPr>
              <w:t xml:space="preserve"> and </w:t>
            </w:r>
            <w:r>
              <w:rPr>
                <w:sz w:val="20"/>
                <w:szCs w:val="20"/>
              </w:rPr>
              <w:t>$</w:t>
            </w:r>
            <w:r>
              <w:rPr>
                <w:sz w:val="20"/>
                <w:szCs w:val="20"/>
              </w:rPr>
              <w:t>7,93</w:t>
            </w:r>
            <w:r>
              <w:rPr>
                <w:sz w:val="20"/>
                <w:szCs w:val="20"/>
              </w:rPr>
              <w:t>1</w:t>
            </w:r>
            <w:r>
              <w:rPr>
                <w:sz w:val="20"/>
                <w:szCs w:val="20"/>
              </w:rPr>
              <w:t xml:space="preserve">, </w:t>
            </w:r>
            <w:r>
              <w:rPr>
                <w:sz w:val="20"/>
                <w:szCs w:val="20"/>
              </w:rPr>
              <w:br/>
              <w:t>    respectivel</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312,43</w:t>
            </w:r>
            <w:r>
              <w:rPr>
                <w:b/>
                <w:bCs/>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282,80</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Prepaid expenses and other current asset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32,13</w:t>
            </w:r>
            <w:r>
              <w:rPr>
                <w:b/>
                <w:bCs/>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26,87</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Assets held for sal</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6,93</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6,99</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Total current asset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513,67</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627,38</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Real estate and related assets</w:t>
            </w: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100"/>
              <w:rPr>
                <w:sz w:val="20"/>
                <w:szCs w:val="20"/>
              </w:rPr>
            </w:pPr>
            <w:r>
              <w:rPr>
                <w:sz w:val="20"/>
                <w:szCs w:val="20"/>
              </w:rPr>
              <w:t xml:space="preserve">Property and equipment, net of accumulated depreciation of </w:t>
            </w:r>
            <w:r>
              <w:rPr>
                <w:sz w:val="20"/>
                <w:szCs w:val="20"/>
              </w:rPr>
              <w:t>$</w:t>
            </w:r>
            <w:r>
              <w:rPr>
                <w:sz w:val="20"/>
                <w:szCs w:val="20"/>
              </w:rPr>
              <w:t>1,716,28</w:t>
            </w:r>
            <w:r>
              <w:rPr>
                <w:sz w:val="20"/>
                <w:szCs w:val="20"/>
              </w:rPr>
              <w:t>3</w:t>
            </w:r>
            <w:r>
              <w:rPr>
                <w:sz w:val="20"/>
                <w:szCs w:val="20"/>
              </w:rPr>
              <w:t> </w:t>
            </w:r>
            <w:r>
              <w:rPr>
                <w:sz w:val="20"/>
                <w:szCs w:val="20"/>
              </w:rPr>
              <w:br/>
              <w:t xml:space="preserve">    and </w:t>
            </w:r>
            <w:r>
              <w:rPr>
                <w:sz w:val="20"/>
                <w:szCs w:val="20"/>
              </w:rPr>
              <w:t>$</w:t>
            </w:r>
            <w:r>
              <w:rPr>
                <w:sz w:val="20"/>
                <w:szCs w:val="20"/>
              </w:rPr>
              <w:t>1,657,70</w:t>
            </w:r>
            <w:r>
              <w:rPr>
                <w:sz w:val="20"/>
                <w:szCs w:val="20"/>
              </w:rPr>
              <w:t>9</w:t>
            </w:r>
            <w:r>
              <w:rPr>
                <w:sz w:val="20"/>
                <w:szCs w:val="20"/>
              </w:rPr>
              <w:t>, respectivel</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2,176,09</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2,283,25</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100"/>
              <w:rPr>
                <w:sz w:val="20"/>
                <w:szCs w:val="20"/>
              </w:rPr>
            </w:pPr>
            <w:r>
              <w:rPr>
                <w:sz w:val="20"/>
                <w:szCs w:val="20"/>
              </w:rPr>
              <w:t>Other real estate asset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208,18</w:t>
            </w:r>
            <w:r>
              <w:rPr>
                <w:b/>
                <w:bCs/>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218,91</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Goodwil</w:t>
            </w:r>
            <w:r>
              <w:rPr>
                <w:sz w:val="20"/>
                <w:szCs w:val="20"/>
              </w:rPr>
              <w:t>l</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4,84</w:t>
            </w:r>
            <w:r>
              <w:rPr>
                <w:b/>
                <w:bCs/>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4,84</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Other asset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341,97</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364,53</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Total asset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3,244,76</w:t>
            </w:r>
            <w:r>
              <w:rPr>
                <w:b/>
                <w:bCs/>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3,498,93</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723D">
            <w:pPr>
              <w:pStyle w:val="a3"/>
              <w:spacing w:before="0" w:beforeAutospacing="0" w:after="0" w:afterAutospacing="0"/>
              <w:jc w:val="center"/>
              <w:rPr>
                <w:sz w:val="20"/>
                <w:szCs w:val="20"/>
              </w:rPr>
            </w:pPr>
            <w:r>
              <w:rPr>
                <w:b/>
                <w:bCs/>
                <w:sz w:val="20"/>
                <w:szCs w:val="20"/>
              </w:rPr>
              <w:t>LIABILITIES AND STOCKHOLDERS' EQUIT</w:t>
            </w:r>
            <w:r>
              <w:rPr>
                <w:b/>
                <w:bCs/>
                <w:sz w:val="20"/>
                <w:szCs w:val="20"/>
              </w:rPr>
              <w:t>Y</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right"/>
              <w:rPr>
                <w:sz w:val="16"/>
                <w:szCs w:val="16"/>
              </w:rPr>
            </w:pPr>
            <w:r>
              <w:rPr>
                <w:sz w:val="16"/>
                <w:szCs w:val="16"/>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Accounts payable and accrued expense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285,22</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305,59</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Current portion of long-term deb</w:t>
            </w:r>
            <w:r>
              <w:rPr>
                <w:sz w:val="20"/>
                <w:szCs w:val="20"/>
              </w:rPr>
              <w:t>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165,52</w:t>
            </w:r>
            <w:r>
              <w:rPr>
                <w:b/>
                <w:bCs/>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35,37</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Total current liabilitie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450,75</w:t>
            </w:r>
            <w:r>
              <w:rPr>
                <w:b/>
                <w:bCs/>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340,96</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Long-term debt, ne</w:t>
            </w:r>
            <w:r>
              <w:rPr>
                <w:sz w:val="20"/>
                <w:szCs w:val="20"/>
              </w:rPr>
              <w:t>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1,084,85</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1,492,04</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Deferred revenu</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22,59</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27,55</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Non-current deferred tax liabilitie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99,61</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88,15</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Other liabilitie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154,54</w:t>
            </w:r>
            <w:r>
              <w:rPr>
                <w:b/>
                <w:bCs/>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177,74</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Total liabilitie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1,812,36</w:t>
            </w:r>
            <w:r>
              <w:rPr>
                <w:b/>
                <w:bCs/>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2,126,47</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Commitments and contingencie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 xml:space="preserve">Preferred stock – </w:t>
            </w:r>
            <w:r>
              <w:rPr>
                <w:sz w:val="20"/>
                <w:szCs w:val="20"/>
              </w:rPr>
              <w:t>$</w:t>
            </w:r>
            <w:r>
              <w:rPr>
                <w:sz w:val="20"/>
                <w:szCs w:val="20"/>
              </w:rPr>
              <w:t>0.0</w:t>
            </w:r>
            <w:r>
              <w:rPr>
                <w:sz w:val="20"/>
                <w:szCs w:val="20"/>
              </w:rPr>
              <w:t>1</w:t>
            </w:r>
            <w:r>
              <w:rPr>
                <w:sz w:val="20"/>
                <w:szCs w:val="20"/>
              </w:rPr>
              <w:t> par value;</w:t>
            </w:r>
            <w:r>
              <w:rPr>
                <w:sz w:val="20"/>
                <w:szCs w:val="20"/>
              </w:rPr>
              <w:t xml:space="preserve"> </w:t>
            </w:r>
            <w:r>
              <w:rPr>
                <w:sz w:val="20"/>
                <w:szCs w:val="20"/>
              </w:rPr>
              <w:t>50,00</w:t>
            </w:r>
            <w:r>
              <w:rPr>
                <w:sz w:val="20"/>
                <w:szCs w:val="20"/>
              </w:rPr>
              <w:t>0</w:t>
            </w:r>
            <w:r>
              <w:rPr>
                <w:sz w:val="20"/>
                <w:szCs w:val="20"/>
              </w:rPr>
              <w:t> shares authorized;</w:t>
            </w:r>
            <w:r>
              <w:rPr>
                <w:sz w:val="20"/>
                <w:szCs w:val="20"/>
              </w:rPr>
              <w:t xml:space="preserve"> </w:t>
            </w:r>
            <w:r>
              <w:rPr>
                <w:sz w:val="20"/>
                <w:szCs w:val="20"/>
              </w:rPr>
              <w:t>non</w:t>
            </w:r>
            <w:r>
              <w:rPr>
                <w:sz w:val="20"/>
                <w:szCs w:val="20"/>
              </w:rPr>
              <w:t>e</w:t>
            </w:r>
            <w:r>
              <w:rPr>
                <w:sz w:val="20"/>
                <w:szCs w:val="20"/>
              </w:rPr>
              <w:t xml:space="preserve"> issued </w:t>
            </w:r>
            <w:r>
              <w:rPr>
                <w:sz w:val="20"/>
                <w:szCs w:val="20"/>
              </w:rPr>
              <w:br/>
              <w:t>   </w:t>
            </w:r>
            <w:r>
              <w:rPr>
                <w:sz w:val="20"/>
                <w:szCs w:val="20"/>
              </w:rPr>
              <w:t>and outstanding at December 31, 2022 and 2021, respectivel</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 xml:space="preserve">Common stock – </w:t>
            </w:r>
            <w:r>
              <w:rPr>
                <w:sz w:val="20"/>
                <w:szCs w:val="20"/>
              </w:rPr>
              <w:t>$</w:t>
            </w:r>
            <w:r>
              <w:rPr>
                <w:sz w:val="20"/>
                <w:szCs w:val="20"/>
              </w:rPr>
              <w:t>0.0</w:t>
            </w:r>
            <w:r>
              <w:rPr>
                <w:sz w:val="20"/>
                <w:szCs w:val="20"/>
              </w:rPr>
              <w:t>1</w:t>
            </w:r>
            <w:r>
              <w:rPr>
                <w:sz w:val="20"/>
                <w:szCs w:val="20"/>
              </w:rPr>
              <w:t> par value;</w:t>
            </w:r>
            <w:r>
              <w:rPr>
                <w:sz w:val="20"/>
                <w:szCs w:val="20"/>
              </w:rPr>
              <w:t xml:space="preserve"> </w:t>
            </w:r>
            <w:r>
              <w:rPr>
                <w:sz w:val="20"/>
                <w:szCs w:val="20"/>
              </w:rPr>
              <w:t>300,00</w:t>
            </w:r>
            <w:r>
              <w:rPr>
                <w:sz w:val="20"/>
                <w:szCs w:val="20"/>
              </w:rPr>
              <w:t>0</w:t>
            </w:r>
            <w:r>
              <w:rPr>
                <w:sz w:val="20"/>
                <w:szCs w:val="20"/>
              </w:rPr>
              <w:t> shares authorized;</w:t>
            </w:r>
            <w:r>
              <w:rPr>
                <w:sz w:val="20"/>
                <w:szCs w:val="20"/>
              </w:rPr>
              <w:br/>
              <w:t>  </w:t>
            </w:r>
            <w:r>
              <w:rPr>
                <w:sz w:val="20"/>
                <w:szCs w:val="20"/>
              </w:rPr>
              <w:t> </w:t>
            </w:r>
            <w:r>
              <w:rPr>
                <w:sz w:val="20"/>
                <w:szCs w:val="20"/>
              </w:rPr>
              <w:t>114,98</w:t>
            </w:r>
            <w:r>
              <w:rPr>
                <w:sz w:val="20"/>
                <w:szCs w:val="20"/>
              </w:rPr>
              <w:t>8</w:t>
            </w:r>
            <w:r>
              <w:rPr>
                <w:sz w:val="20"/>
                <w:szCs w:val="20"/>
              </w:rPr>
              <w:t> and</w:t>
            </w:r>
            <w:r>
              <w:rPr>
                <w:sz w:val="20"/>
                <w:szCs w:val="20"/>
              </w:rPr>
              <w:t xml:space="preserve"> </w:t>
            </w:r>
            <w:r>
              <w:rPr>
                <w:sz w:val="20"/>
                <w:szCs w:val="20"/>
              </w:rPr>
              <w:t>120,28</w:t>
            </w:r>
            <w:r>
              <w:rPr>
                <w:sz w:val="20"/>
                <w:szCs w:val="20"/>
              </w:rPr>
              <w:t>5</w:t>
            </w:r>
            <w:r>
              <w:rPr>
                <w:sz w:val="20"/>
                <w:szCs w:val="20"/>
              </w:rPr>
              <w:t xml:space="preserve"> shares issued and outstanding </w:t>
            </w:r>
            <w:r>
              <w:rPr>
                <w:sz w:val="20"/>
                <w:szCs w:val="20"/>
              </w:rPr>
              <w:br/>
              <w:t>   </w:t>
            </w:r>
            <w:r>
              <w:rPr>
                <w:sz w:val="20"/>
                <w:szCs w:val="20"/>
              </w:rPr>
              <w:t>at December 31, 2022 and 2021, respectivel</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1,15</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1,20</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Additional paid-in capita</w:t>
            </w:r>
            <w:r>
              <w:rPr>
                <w:sz w:val="20"/>
                <w:szCs w:val="20"/>
              </w:rPr>
              <w:t>l</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1,807,68</w:t>
            </w:r>
            <w:r>
              <w:rPr>
                <w:b/>
                <w:bCs/>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1,869,95</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Accumulated defici</w:t>
            </w:r>
            <w:r>
              <w:rPr>
                <w:sz w:val="20"/>
                <w:szCs w:val="20"/>
              </w:rPr>
              <w:t>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376,43</w:t>
            </w:r>
            <w:r>
              <w:rPr>
                <w:b/>
                <w:bCs/>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498,69</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Total stockholders' equit</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1,432,40</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1,372,46</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Total liabilities and stockholders' equit</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3,244,76</w:t>
            </w:r>
            <w:r>
              <w:rPr>
                <w:b/>
                <w:bCs/>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3,498,93</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bl>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4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6D723D">
      <w:pPr>
        <w:pStyle w:val="a3"/>
        <w:spacing w:before="0" w:beforeAutospacing="0" w:after="0" w:afterAutospacing="0"/>
        <w:rPr>
          <w:sz w:val="20"/>
          <w:szCs w:val="20"/>
        </w:rPr>
      </w:pPr>
      <w:r>
        <w:t> </w: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jc w:val="center"/>
        <w:rPr>
          <w:sz w:val="20"/>
          <w:szCs w:val="20"/>
        </w:rPr>
      </w:pPr>
      <w:r>
        <w:rPr>
          <w:sz w:val="20"/>
          <w:szCs w:val="20"/>
        </w:rPr>
        <w:t>F</w:t>
      </w:r>
      <w:r>
        <w:rPr>
          <w:sz w:val="20"/>
          <w:szCs w:val="20"/>
        </w:rPr>
        <w:t>-</w:t>
      </w:r>
      <w:r>
        <w:rPr>
          <w:sz w:val="20"/>
          <w:szCs w:val="20"/>
        </w:rPr>
        <w:t>4</w:t>
      </w:r>
    </w:p>
    <w:p w:rsidR="00000000" w:rsidRDefault="006D723D">
      <w:pPr>
        <w:rPr>
          <w:rFonts w:eastAsia="Times New Roman"/>
        </w:rPr>
      </w:pPr>
      <w:r>
        <w:rPr>
          <w:rFonts w:eastAsia="Times New Roman"/>
        </w:rPr>
        <w:pict>
          <v:rect id="_x0000_i1132"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jc w:val="center"/>
        <w:rPr>
          <w:sz w:val="20"/>
          <w:szCs w:val="20"/>
        </w:rPr>
      </w:pPr>
      <w:r>
        <w:rPr>
          <w:b/>
          <w:bCs/>
          <w:sz w:val="20"/>
          <w:szCs w:val="20"/>
        </w:rPr>
        <w:t>CORECIVIC, INC. AND SUBSIDIARIE</w:t>
      </w:r>
      <w:r>
        <w:rPr>
          <w:b/>
          <w:bCs/>
          <w:sz w:val="20"/>
          <w:szCs w:val="20"/>
        </w:rPr>
        <w:t>S</w:t>
      </w:r>
    </w:p>
    <w:p w:rsidR="00000000" w:rsidRDefault="006D723D">
      <w:pPr>
        <w:pStyle w:val="a3"/>
        <w:spacing w:before="0" w:beforeAutospacing="0" w:after="0" w:afterAutospacing="0"/>
        <w:jc w:val="center"/>
        <w:rPr>
          <w:sz w:val="20"/>
          <w:szCs w:val="20"/>
        </w:rPr>
      </w:pPr>
      <w:r>
        <w:rPr>
          <w:b/>
          <w:bCs/>
          <w:sz w:val="20"/>
          <w:szCs w:val="20"/>
        </w:rPr>
        <w:t>CONSOLIDATED STATE</w:t>
      </w:r>
      <w:r>
        <w:rPr>
          <w:b/>
          <w:bCs/>
          <w:sz w:val="20"/>
          <w:szCs w:val="20"/>
        </w:rPr>
        <w:t>M</w:t>
      </w:r>
      <w:r>
        <w:rPr>
          <w:b/>
          <w:bCs/>
          <w:sz w:val="20"/>
          <w:szCs w:val="20"/>
        </w:rPr>
        <w:t>ENTS OF OPERATION</w:t>
      </w:r>
      <w:r>
        <w:rPr>
          <w:b/>
          <w:bCs/>
          <w:sz w:val="20"/>
          <w:szCs w:val="20"/>
        </w:rPr>
        <w:t>S</w:t>
      </w:r>
    </w:p>
    <w:p w:rsidR="00000000" w:rsidRDefault="006D723D">
      <w:pPr>
        <w:pStyle w:val="a3"/>
        <w:spacing w:before="0" w:beforeAutospacing="0" w:after="0" w:afterAutospacing="0"/>
        <w:jc w:val="center"/>
        <w:rPr>
          <w:sz w:val="20"/>
          <w:szCs w:val="20"/>
        </w:rPr>
      </w:pPr>
      <w:r>
        <w:rPr>
          <w:sz w:val="20"/>
          <w:szCs w:val="20"/>
        </w:rPr>
        <w:t>(in thousands, except per share amounts</w:t>
      </w:r>
      <w:r>
        <w:rPr>
          <w:sz w:val="20"/>
          <w:szCs w:val="20"/>
        </w:rPr>
        <w:t>)</w:t>
      </w:r>
    </w:p>
    <w:p w:rsidR="00000000" w:rsidRDefault="006D723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12"/>
        <w:gridCol w:w="110"/>
        <w:gridCol w:w="160"/>
        <w:gridCol w:w="860"/>
        <w:gridCol w:w="127"/>
        <w:gridCol w:w="110"/>
        <w:gridCol w:w="160"/>
        <w:gridCol w:w="861"/>
        <w:gridCol w:w="127"/>
        <w:gridCol w:w="110"/>
        <w:gridCol w:w="160"/>
        <w:gridCol w:w="867"/>
        <w:gridCol w:w="142"/>
      </w:tblGrid>
      <w:tr w:rsidR="00000000">
        <w:trPr>
          <w:tblCellSpacing w:w="15" w:type="dxa"/>
        </w:trPr>
        <w:tc>
          <w:tcPr>
            <w:tcW w:w="2849" w:type="pct"/>
            <w:vAlign w:val="center"/>
            <w:hideMark/>
          </w:tcPr>
          <w:p w:rsidR="00000000" w:rsidRDefault="006D723D">
            <w:pPr>
              <w:rPr>
                <w:sz w:val="20"/>
                <w:szCs w:val="20"/>
              </w:rPr>
            </w:pPr>
          </w:p>
        </w:tc>
        <w:tc>
          <w:tcPr>
            <w:tcW w:w="6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4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4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4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trHeight w:val="160"/>
          <w:tblCellSpacing w:w="15" w:type="dxa"/>
        </w:trPr>
        <w:tc>
          <w:tcPr>
            <w:tcW w:w="0" w:type="auto"/>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6D723D">
            <w:pPr>
              <w:pStyle w:val="a3"/>
              <w:spacing w:before="0" w:beforeAutospacing="0" w:after="0" w:afterAutospacing="0"/>
              <w:jc w:val="center"/>
              <w:rPr>
                <w:sz w:val="16"/>
                <w:szCs w:val="16"/>
              </w:rPr>
            </w:pPr>
            <w:r>
              <w:rPr>
                <w:b/>
                <w:bCs/>
                <w:sz w:val="16"/>
                <w:szCs w:val="16"/>
              </w:rPr>
              <w:t>For the Years Ended December 31</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b/>
                <w:bCs/>
                <w:sz w:val="20"/>
                <w:szCs w:val="20"/>
              </w:rPr>
              <w:t>REVENU</w:t>
            </w:r>
            <w:r>
              <w:rPr>
                <w:b/>
                <w:bCs/>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1,845,32</w:t>
            </w:r>
            <w:r>
              <w:rPr>
                <w:b/>
                <w:bCs/>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1,862,61</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1,905,48</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b/>
                <w:bCs/>
                <w:sz w:val="20"/>
                <w:szCs w:val="20"/>
              </w:rPr>
              <w:t>EXPENSES</w:t>
            </w: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Operatin</w:t>
            </w:r>
            <w:r>
              <w:rPr>
                <w:sz w:val="20"/>
                <w:szCs w:val="20"/>
              </w:rPr>
              <w:t>g</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1,413,79</w:t>
            </w:r>
            <w:r>
              <w:rPr>
                <w:b/>
                <w:bCs/>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1,337,06</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1,406,37</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127,70</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135,77</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124,33</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Depreciation and amortizatio</w:t>
            </w:r>
            <w:r>
              <w:rPr>
                <w:sz w:val="20"/>
                <w:szCs w:val="20"/>
              </w:rPr>
              <w:t>n</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127,90</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134,73</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150,86</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Contingent consideration for acquisition of businesse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62</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Shareholder litigation expens</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1,90</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54,29</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Asset impairment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4,39</w:t>
            </w:r>
            <w:r>
              <w:rPr>
                <w:b/>
                <w:bCs/>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11,37</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60,62</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1,675,69</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1,673,24</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1,742,82</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b/>
                <w:bCs/>
                <w:sz w:val="20"/>
                <w:szCs w:val="20"/>
              </w:rPr>
              <w:t>OTHER INCOME (EXPENSE)</w:t>
            </w: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Interest expense, ne</w:t>
            </w:r>
            <w:r>
              <w:rPr>
                <w:sz w:val="20"/>
                <w:szCs w:val="20"/>
              </w:rPr>
              <w:t>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84,97</w:t>
            </w:r>
            <w:r>
              <w:rPr>
                <w:b/>
                <w:bCs/>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85,54</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83,29</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 xml:space="preserve">Expenses associated with debt repayments </w:t>
            </w:r>
            <w:r>
              <w:rPr>
                <w:sz w:val="20"/>
                <w:szCs w:val="20"/>
              </w:rPr>
              <w:br/>
              <w:t>    and refinancing transaction</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8,07</w:t>
            </w:r>
            <w:r>
              <w:rPr>
                <w:b/>
                <w:bCs/>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56,27</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7,14</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Gain (loss) on sale of real estate asset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87,72</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38,76</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13,02</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Other income (expense</w:t>
            </w: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98</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21</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52</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b/>
                <w:bCs/>
                <w:sz w:val="20"/>
                <w:szCs w:val="20"/>
              </w:rPr>
              <w:t>INCOME BEFORE INCOME TAXE</w:t>
            </w:r>
            <w:r>
              <w:rPr>
                <w:b/>
                <w:bCs/>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165,30</w:t>
            </w:r>
            <w:r>
              <w:rPr>
                <w:b/>
                <w:bCs/>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86,10</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59,72</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Income tax expens</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42,98</w:t>
            </w:r>
            <w:r>
              <w:rPr>
                <w:b/>
                <w:bCs/>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137,99</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4,38</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b/>
                <w:bCs/>
                <w:sz w:val="20"/>
                <w:szCs w:val="20"/>
              </w:rPr>
              <w:t>NET INCOME (LOSS</w:t>
            </w: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122,32</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51,89</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55,33</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Net income attributable to non-controlling interes</w:t>
            </w:r>
            <w:r>
              <w:rPr>
                <w:sz w:val="20"/>
                <w:szCs w:val="20"/>
              </w:rPr>
              <w:t>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1,18</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b/>
                <w:bCs/>
                <w:sz w:val="20"/>
                <w:szCs w:val="20"/>
              </w:rPr>
              <w:t>NET INCOME (LOSS) ATTRIBUTABLE TO COMMON</w:t>
            </w:r>
            <w:r>
              <w:rPr>
                <w:b/>
                <w:bCs/>
                <w:sz w:val="20"/>
                <w:szCs w:val="20"/>
              </w:rPr>
              <w:br/>
              <w:t>      STOCKHOLDER</w:t>
            </w:r>
            <w:r>
              <w:rPr>
                <w:b/>
                <w:bCs/>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122,32</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51,89</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54,15</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b/>
                <w:bCs/>
                <w:sz w:val="20"/>
                <w:szCs w:val="20"/>
              </w:rPr>
              <w:t>BASIC EARNINGS (LOSS) PER SHAR</w:t>
            </w:r>
            <w:r>
              <w:rPr>
                <w:b/>
                <w:bCs/>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1.0</w:t>
            </w:r>
            <w:r>
              <w:rPr>
                <w:b/>
                <w:bCs/>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0.4</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0.4</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b/>
                <w:bCs/>
                <w:sz w:val="20"/>
                <w:szCs w:val="20"/>
              </w:rPr>
              <w:t>DILUTED EARNINGS (LOSS) PER SHAR</w:t>
            </w:r>
            <w:r>
              <w:rPr>
                <w:b/>
                <w:bCs/>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1.0</w:t>
            </w:r>
            <w:r>
              <w:rPr>
                <w:b/>
                <w:bCs/>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0.4</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0.4</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b/>
                <w:bCs/>
                <w:sz w:val="20"/>
                <w:szCs w:val="20"/>
              </w:rPr>
              <w:t>DIVIDENDS DECLARED PER SHAR</w:t>
            </w:r>
            <w:r>
              <w:rPr>
                <w:b/>
                <w:bCs/>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0.4</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bl>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4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6D723D">
      <w:pPr>
        <w:pStyle w:val="a3"/>
        <w:spacing w:before="0" w:beforeAutospacing="0" w:after="0" w:afterAutospacing="0"/>
        <w:rPr>
          <w:sz w:val="20"/>
          <w:szCs w:val="20"/>
        </w:rPr>
      </w:pPr>
      <w:r>
        <w:t> </w: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jc w:val="center"/>
        <w:rPr>
          <w:sz w:val="20"/>
          <w:szCs w:val="20"/>
        </w:rPr>
      </w:pPr>
      <w:r>
        <w:rPr>
          <w:sz w:val="20"/>
          <w:szCs w:val="20"/>
        </w:rPr>
        <w:t>F</w:t>
      </w:r>
      <w:r>
        <w:rPr>
          <w:sz w:val="20"/>
          <w:szCs w:val="20"/>
        </w:rPr>
        <w:t>-</w:t>
      </w:r>
      <w:r>
        <w:rPr>
          <w:sz w:val="20"/>
          <w:szCs w:val="20"/>
        </w:rPr>
        <w:t>5</w:t>
      </w:r>
    </w:p>
    <w:p w:rsidR="00000000" w:rsidRDefault="006D723D">
      <w:pPr>
        <w:rPr>
          <w:rFonts w:eastAsia="Times New Roman"/>
        </w:rPr>
      </w:pPr>
      <w:r>
        <w:rPr>
          <w:rFonts w:eastAsia="Times New Roman"/>
        </w:rPr>
        <w:pict>
          <v:rect id="_x0000_i1133"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jc w:val="center"/>
        <w:rPr>
          <w:sz w:val="20"/>
          <w:szCs w:val="20"/>
        </w:rPr>
      </w:pPr>
      <w:r>
        <w:rPr>
          <w:b/>
          <w:bCs/>
          <w:sz w:val="20"/>
          <w:szCs w:val="20"/>
        </w:rPr>
        <w:t>CORECIVIC, INC. AND SUBSIDIARIE</w:t>
      </w:r>
      <w:r>
        <w:rPr>
          <w:b/>
          <w:bCs/>
          <w:sz w:val="20"/>
          <w:szCs w:val="20"/>
        </w:rPr>
        <w:t>S</w:t>
      </w:r>
    </w:p>
    <w:p w:rsidR="00000000" w:rsidRDefault="006D723D">
      <w:pPr>
        <w:pStyle w:val="a3"/>
        <w:spacing w:before="0" w:beforeAutospacing="0" w:after="0" w:afterAutospacing="0"/>
        <w:jc w:val="center"/>
        <w:rPr>
          <w:sz w:val="20"/>
          <w:szCs w:val="20"/>
        </w:rPr>
      </w:pPr>
      <w:r>
        <w:rPr>
          <w:b/>
          <w:bCs/>
          <w:sz w:val="20"/>
          <w:szCs w:val="20"/>
        </w:rPr>
        <w:t>CONSOLIDATED STATE</w:t>
      </w:r>
      <w:r>
        <w:rPr>
          <w:b/>
          <w:bCs/>
          <w:sz w:val="20"/>
          <w:szCs w:val="20"/>
        </w:rPr>
        <w:t>M</w:t>
      </w:r>
      <w:r>
        <w:rPr>
          <w:b/>
          <w:bCs/>
          <w:sz w:val="20"/>
          <w:szCs w:val="20"/>
        </w:rPr>
        <w:t>ENTS OF CASH FLOW</w:t>
      </w:r>
      <w:r>
        <w:rPr>
          <w:b/>
          <w:bCs/>
          <w:sz w:val="20"/>
          <w:szCs w:val="20"/>
        </w:rPr>
        <w:t>S</w:t>
      </w:r>
    </w:p>
    <w:p w:rsidR="00000000" w:rsidRDefault="006D723D">
      <w:pPr>
        <w:pStyle w:val="a3"/>
        <w:spacing w:before="0" w:beforeAutospacing="0" w:after="0" w:afterAutospacing="0"/>
        <w:jc w:val="center"/>
        <w:rPr>
          <w:sz w:val="20"/>
          <w:szCs w:val="20"/>
        </w:rPr>
      </w:pPr>
      <w:r>
        <w:rPr>
          <w:sz w:val="20"/>
          <w:szCs w:val="20"/>
        </w:rPr>
        <w:t>(in thousands</w:t>
      </w:r>
      <w:r>
        <w:rPr>
          <w:sz w:val="20"/>
          <w:szCs w:val="20"/>
        </w:rPr>
        <w:t>)</w:t>
      </w:r>
      <w:r>
        <w:rPr>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54"/>
        <w:gridCol w:w="114"/>
        <w:gridCol w:w="145"/>
        <w:gridCol w:w="864"/>
        <w:gridCol w:w="117"/>
        <w:gridCol w:w="114"/>
        <w:gridCol w:w="145"/>
        <w:gridCol w:w="864"/>
        <w:gridCol w:w="117"/>
        <w:gridCol w:w="114"/>
        <w:gridCol w:w="145"/>
        <w:gridCol w:w="881"/>
        <w:gridCol w:w="132"/>
      </w:tblGrid>
      <w:tr w:rsidR="00000000">
        <w:trPr>
          <w:tblCellSpacing w:w="15" w:type="dxa"/>
        </w:trPr>
        <w:tc>
          <w:tcPr>
            <w:tcW w:w="2870" w:type="pct"/>
            <w:vAlign w:val="center"/>
            <w:hideMark/>
          </w:tcPr>
          <w:p w:rsidR="00000000" w:rsidRDefault="006D723D">
            <w:pPr>
              <w:rPr>
                <w:sz w:val="20"/>
                <w:szCs w:val="20"/>
              </w:rPr>
            </w:pPr>
          </w:p>
        </w:tc>
        <w:tc>
          <w:tcPr>
            <w:tcW w:w="65"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41"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5"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41"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5"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51"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gridSpan w:val="10"/>
            <w:vAlign w:val="bottom"/>
            <w:hideMark/>
          </w:tcPr>
          <w:p w:rsidR="00000000" w:rsidRDefault="006D723D">
            <w:pPr>
              <w:pStyle w:val="a3"/>
              <w:spacing w:before="0" w:beforeAutospacing="0" w:after="0" w:afterAutospacing="0"/>
              <w:jc w:val="center"/>
              <w:rPr>
                <w:sz w:val="15"/>
                <w:szCs w:val="15"/>
              </w:rPr>
            </w:pPr>
            <w:r>
              <w:rPr>
                <w:b/>
                <w:bCs/>
                <w:sz w:val="15"/>
                <w:szCs w:val="15"/>
              </w:rPr>
              <w:t>For the Years Ended December 31</w:t>
            </w:r>
            <w:r>
              <w:rPr>
                <w:b/>
                <w:bCs/>
                <w:sz w:val="15"/>
                <w:szCs w:val="15"/>
              </w:rPr>
              <w:t>,</w:t>
            </w:r>
          </w:p>
        </w:tc>
        <w:tc>
          <w:tcPr>
            <w:tcW w:w="0" w:type="auto"/>
            <w:vAlign w:val="bottom"/>
            <w:hideMark/>
          </w:tcPr>
          <w:p w:rsidR="00000000" w:rsidRDefault="006D723D">
            <w:pPr>
              <w:pStyle w:val="a3"/>
              <w:spacing w:before="0" w:beforeAutospacing="0" w:after="0" w:afterAutospacing="0"/>
              <w:jc w:val="center"/>
              <w:rPr>
                <w:sz w:val="15"/>
                <w:szCs w:val="15"/>
              </w:rPr>
            </w:pPr>
            <w:r>
              <w:rPr>
                <w:sz w:val="15"/>
                <w:szCs w:val="15"/>
              </w:rPr>
              <w:t> </w:t>
            </w:r>
          </w:p>
        </w:tc>
      </w:tr>
      <w:tr w:rsidR="00000000">
        <w:trPr>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6D723D">
            <w:pPr>
              <w:pStyle w:val="a3"/>
              <w:spacing w:before="0" w:beforeAutospacing="0" w:after="0" w:afterAutospacing="0"/>
              <w:jc w:val="center"/>
              <w:rPr>
                <w:sz w:val="15"/>
                <w:szCs w:val="15"/>
              </w:rPr>
            </w:pPr>
            <w:r>
              <w:rPr>
                <w:b/>
                <w:bCs/>
                <w:sz w:val="15"/>
                <w:szCs w:val="15"/>
              </w:rPr>
              <w:t>202</w:t>
            </w:r>
            <w:r>
              <w:rPr>
                <w:b/>
                <w:bCs/>
                <w:sz w:val="15"/>
                <w:szCs w:val="15"/>
              </w:rPr>
              <w:t>2</w:t>
            </w:r>
          </w:p>
        </w:tc>
        <w:tc>
          <w:tcPr>
            <w:tcW w:w="0" w:type="auto"/>
            <w:vAlign w:val="bottom"/>
            <w:hideMark/>
          </w:tcPr>
          <w:p w:rsidR="00000000" w:rsidRDefault="006D723D">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6D723D">
            <w:pPr>
              <w:pStyle w:val="a3"/>
              <w:spacing w:before="0" w:beforeAutospacing="0" w:after="0" w:afterAutospacing="0"/>
              <w:jc w:val="center"/>
              <w:rPr>
                <w:sz w:val="15"/>
                <w:szCs w:val="15"/>
              </w:rPr>
            </w:pPr>
            <w:r>
              <w:rPr>
                <w:b/>
                <w:bCs/>
                <w:sz w:val="15"/>
                <w:szCs w:val="15"/>
              </w:rPr>
              <w:t>202</w:t>
            </w:r>
            <w:r>
              <w:rPr>
                <w:b/>
                <w:bCs/>
                <w:sz w:val="15"/>
                <w:szCs w:val="15"/>
              </w:rPr>
              <w:t>1</w:t>
            </w:r>
          </w:p>
        </w:tc>
        <w:tc>
          <w:tcPr>
            <w:tcW w:w="0" w:type="auto"/>
            <w:vAlign w:val="bottom"/>
            <w:hideMark/>
          </w:tcPr>
          <w:p w:rsidR="00000000" w:rsidRDefault="006D723D">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15"/>
                <w:szCs w:val="15"/>
              </w:rPr>
            </w:pPr>
            <w:r>
              <w:rPr>
                <w:sz w:val="15"/>
                <w:szCs w:val="15"/>
              </w:rPr>
              <w:t> </w:t>
            </w:r>
          </w:p>
        </w:tc>
        <w:tc>
          <w:tcPr>
            <w:tcW w:w="0" w:type="auto"/>
            <w:gridSpan w:val="2"/>
            <w:vAlign w:val="bottom"/>
            <w:hideMark/>
          </w:tcPr>
          <w:p w:rsidR="00000000" w:rsidRDefault="006D723D">
            <w:pPr>
              <w:pStyle w:val="a3"/>
              <w:spacing w:before="0" w:beforeAutospacing="0" w:after="0" w:afterAutospacing="0"/>
              <w:jc w:val="center"/>
              <w:rPr>
                <w:sz w:val="15"/>
                <w:szCs w:val="15"/>
              </w:rPr>
            </w:pPr>
            <w:r>
              <w:rPr>
                <w:b/>
                <w:bCs/>
                <w:sz w:val="15"/>
                <w:szCs w:val="15"/>
              </w:rPr>
              <w:t>202</w:t>
            </w:r>
            <w:r>
              <w:rPr>
                <w:b/>
                <w:bCs/>
                <w:sz w:val="15"/>
                <w:szCs w:val="15"/>
              </w:rPr>
              <w:t>0</w:t>
            </w:r>
          </w:p>
        </w:tc>
        <w:tc>
          <w:tcPr>
            <w:tcW w:w="0" w:type="auto"/>
            <w:vAlign w:val="bottom"/>
            <w:hideMark/>
          </w:tcPr>
          <w:p w:rsidR="00000000" w:rsidRDefault="006D723D">
            <w:pPr>
              <w:pStyle w:val="a3"/>
              <w:spacing w:before="0" w:beforeAutospacing="0" w:after="0" w:afterAutospacing="0"/>
              <w:jc w:val="center"/>
              <w:rPr>
                <w:sz w:val="15"/>
                <w:szCs w:val="15"/>
              </w:rPr>
            </w:pPr>
            <w:r>
              <w:rPr>
                <w:sz w:val="15"/>
                <w:szCs w:val="15"/>
              </w:rPr>
              <w:t> </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7"/>
                <w:szCs w:val="17"/>
              </w:rPr>
            </w:pPr>
            <w:r>
              <w:rPr>
                <w:b/>
                <w:bCs/>
                <w:sz w:val="17"/>
                <w:szCs w:val="17"/>
              </w:rPr>
              <w:t>CASH FLOWS FROM OPERATING ACTIVITIES</w:t>
            </w:r>
            <w:r>
              <w:rPr>
                <w:b/>
                <w:bCs/>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gridSpan w:val="2"/>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ind w:left="200"/>
              <w:rPr>
                <w:sz w:val="17"/>
                <w:szCs w:val="17"/>
              </w:rPr>
            </w:pPr>
            <w:r>
              <w:rPr>
                <w:sz w:val="17"/>
                <w:szCs w:val="17"/>
              </w:rPr>
              <w:t>Net income (loss</w:t>
            </w:r>
            <w:r>
              <w:rPr>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b/>
                <w:bCs/>
                <w:sz w:val="17"/>
                <w:szCs w:val="17"/>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122,32</w:t>
            </w:r>
            <w:r>
              <w:rPr>
                <w:b/>
                <w:bCs/>
                <w:sz w:val="17"/>
                <w:szCs w:val="17"/>
              </w:rPr>
              <w:t>0</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51,89</w:t>
            </w:r>
            <w:r>
              <w:rPr>
                <w:sz w:val="17"/>
                <w:szCs w:val="17"/>
              </w:rPr>
              <w:t>6</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55,33</w:t>
            </w:r>
            <w:r>
              <w:rPr>
                <w:sz w:val="17"/>
                <w:szCs w:val="17"/>
              </w:rPr>
              <w:t>8</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ind w:left="200"/>
              <w:rPr>
                <w:sz w:val="17"/>
                <w:szCs w:val="17"/>
              </w:rPr>
            </w:pPr>
            <w:r>
              <w:rPr>
                <w:sz w:val="17"/>
                <w:szCs w:val="17"/>
              </w:rPr>
              <w:t>Adjustments to reconcile net income (loss) to net cash provided by</w:t>
            </w:r>
            <w:r>
              <w:rPr>
                <w:sz w:val="17"/>
                <w:szCs w:val="17"/>
              </w:rPr>
              <w:br/>
              <w:t>   operating activities</w:t>
            </w:r>
            <w:r>
              <w:rPr>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gridSpan w:val="2"/>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ind w:left="400"/>
              <w:rPr>
                <w:sz w:val="17"/>
                <w:szCs w:val="17"/>
              </w:rPr>
            </w:pPr>
            <w:r>
              <w:rPr>
                <w:sz w:val="17"/>
                <w:szCs w:val="17"/>
              </w:rPr>
              <w:t>Depreciation and amortizatio</w:t>
            </w:r>
            <w:r>
              <w:rPr>
                <w:sz w:val="17"/>
                <w:szCs w:val="17"/>
              </w:rPr>
              <w:t>n</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127,90</w:t>
            </w:r>
            <w:r>
              <w:rPr>
                <w:b/>
                <w:bCs/>
                <w:sz w:val="17"/>
                <w:szCs w:val="17"/>
              </w:rPr>
              <w:t>6</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134,73</w:t>
            </w:r>
            <w:r>
              <w:rPr>
                <w:sz w:val="17"/>
                <w:szCs w:val="17"/>
              </w:rPr>
              <w:t>8</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150,86</w:t>
            </w:r>
            <w:r>
              <w:rPr>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ind w:left="400"/>
              <w:rPr>
                <w:sz w:val="17"/>
                <w:szCs w:val="17"/>
              </w:rPr>
            </w:pPr>
            <w:r>
              <w:rPr>
                <w:sz w:val="17"/>
                <w:szCs w:val="17"/>
              </w:rPr>
              <w:t>Asset impairment</w:t>
            </w:r>
            <w:r>
              <w:rPr>
                <w:sz w:val="17"/>
                <w:szCs w:val="17"/>
              </w:rPr>
              <w:t>s</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4,39</w:t>
            </w:r>
            <w:r>
              <w:rPr>
                <w:b/>
                <w:bCs/>
                <w:sz w:val="17"/>
                <w:szCs w:val="17"/>
              </w:rPr>
              <w:t>2</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11,37</w:t>
            </w:r>
            <w:r>
              <w:rPr>
                <w:sz w:val="17"/>
                <w:szCs w:val="17"/>
              </w:rPr>
              <w:t>8</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60,62</w:t>
            </w:r>
            <w:r>
              <w:rPr>
                <w:sz w:val="17"/>
                <w:szCs w:val="17"/>
              </w:rPr>
              <w:t>8</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ind w:left="400"/>
              <w:rPr>
                <w:sz w:val="17"/>
                <w:szCs w:val="17"/>
              </w:rPr>
            </w:pPr>
            <w:r>
              <w:rPr>
                <w:sz w:val="17"/>
                <w:szCs w:val="17"/>
              </w:rPr>
              <w:t>Amortization of debt issuance costs and other non-cash interes</w:t>
            </w:r>
            <w:r>
              <w:rPr>
                <w:sz w:val="17"/>
                <w:szCs w:val="17"/>
              </w:rPr>
              <w:t>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5,64</w:t>
            </w:r>
            <w:r>
              <w:rPr>
                <w:b/>
                <w:bCs/>
                <w:sz w:val="17"/>
                <w:szCs w:val="17"/>
              </w:rPr>
              <w:t>3</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7,34</w:t>
            </w:r>
            <w:r>
              <w:rPr>
                <w:sz w:val="17"/>
                <w:szCs w:val="17"/>
              </w:rPr>
              <w:t>5</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5,51</w:t>
            </w:r>
            <w:r>
              <w:rPr>
                <w:sz w:val="17"/>
                <w:szCs w:val="17"/>
              </w:rPr>
              <w:t>9</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ind w:left="400"/>
              <w:rPr>
                <w:sz w:val="17"/>
                <w:szCs w:val="17"/>
              </w:rPr>
            </w:pPr>
            <w:r>
              <w:rPr>
                <w:sz w:val="17"/>
                <w:szCs w:val="17"/>
              </w:rPr>
              <w:t xml:space="preserve">Expenses associated with debt repayments and refinancing </w:t>
            </w:r>
            <w:r>
              <w:rPr>
                <w:sz w:val="17"/>
                <w:szCs w:val="17"/>
              </w:rPr>
              <w:br/>
              <w:t>      transaction</w:t>
            </w:r>
            <w:r>
              <w:rPr>
                <w:sz w:val="17"/>
                <w:szCs w:val="17"/>
              </w:rPr>
              <w:t>s</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8,07</w:t>
            </w:r>
            <w:r>
              <w:rPr>
                <w:b/>
                <w:bCs/>
                <w:sz w:val="17"/>
                <w:szCs w:val="17"/>
              </w:rPr>
              <w:t>7</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56,27</w:t>
            </w:r>
            <w:r>
              <w:rPr>
                <w:sz w:val="17"/>
                <w:szCs w:val="17"/>
              </w:rPr>
              <w:t>9</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7,14</w:t>
            </w:r>
            <w:r>
              <w:rPr>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ind w:left="400"/>
              <w:rPr>
                <w:sz w:val="17"/>
                <w:szCs w:val="17"/>
              </w:rPr>
            </w:pPr>
            <w:r>
              <w:rPr>
                <w:sz w:val="17"/>
                <w:szCs w:val="17"/>
              </w:rPr>
              <w:t>Deferred income taxe</w:t>
            </w:r>
            <w:r>
              <w:rPr>
                <w:sz w:val="17"/>
                <w:szCs w:val="17"/>
              </w:rPr>
              <w:t>s</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11,46</w:t>
            </w:r>
            <w:r>
              <w:rPr>
                <w:b/>
                <w:bCs/>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99,27</w:t>
            </w:r>
            <w:r>
              <w:rPr>
                <w:sz w:val="17"/>
                <w:szCs w:val="17"/>
              </w:rPr>
              <w:t>0</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4,94</w:t>
            </w:r>
            <w:r>
              <w:rPr>
                <w:sz w:val="17"/>
                <w:szCs w:val="17"/>
              </w:rPr>
              <w:t>5</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ind w:left="400"/>
              <w:rPr>
                <w:sz w:val="17"/>
                <w:szCs w:val="17"/>
              </w:rPr>
            </w:pPr>
            <w:r>
              <w:rPr>
                <w:sz w:val="17"/>
                <w:szCs w:val="17"/>
              </w:rPr>
              <w:t>Loss (gain) on sale of real estate asset</w:t>
            </w:r>
            <w:r>
              <w:rPr>
                <w:sz w:val="17"/>
                <w:szCs w:val="17"/>
              </w:rPr>
              <w:t>s</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w:t>
            </w:r>
            <w:r>
              <w:rPr>
                <w:b/>
                <w:bCs/>
                <w:sz w:val="17"/>
                <w:szCs w:val="17"/>
              </w:rPr>
              <w:t>87,72</w:t>
            </w:r>
            <w:r>
              <w:rPr>
                <w:b/>
                <w:bCs/>
                <w:sz w:val="17"/>
                <w:szCs w:val="17"/>
              </w:rPr>
              <w:t>8</w:t>
            </w:r>
          </w:p>
        </w:tc>
        <w:tc>
          <w:tcPr>
            <w:tcW w:w="0" w:type="auto"/>
            <w:noWrap/>
            <w:vAlign w:val="bottom"/>
            <w:hideMark/>
          </w:tcPr>
          <w:p w:rsidR="00000000" w:rsidRDefault="006D723D">
            <w:pPr>
              <w:pStyle w:val="a3"/>
              <w:spacing w:before="0" w:beforeAutospacing="0" w:after="0" w:afterAutospacing="0"/>
              <w:rPr>
                <w:sz w:val="17"/>
                <w:szCs w:val="17"/>
              </w:rPr>
            </w:pPr>
            <w:r>
              <w:rPr>
                <w:b/>
                <w:bCs/>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38,76</w:t>
            </w:r>
            <w:r>
              <w:rPr>
                <w:sz w:val="17"/>
                <w:szCs w:val="17"/>
              </w:rPr>
              <w:t>6</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13,02</w:t>
            </w:r>
            <w:r>
              <w:rPr>
                <w:sz w:val="17"/>
                <w:szCs w:val="17"/>
              </w:rPr>
              <w:t>3</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ind w:left="400"/>
              <w:rPr>
                <w:sz w:val="17"/>
                <w:szCs w:val="17"/>
              </w:rPr>
            </w:pPr>
            <w:r>
              <w:rPr>
                <w:sz w:val="17"/>
                <w:szCs w:val="17"/>
              </w:rPr>
              <w:t>Other expenses and non-cash item</w:t>
            </w:r>
            <w:r>
              <w:rPr>
                <w:sz w:val="17"/>
                <w:szCs w:val="17"/>
              </w:rPr>
              <w:t>s</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7,33</w:t>
            </w:r>
            <w:r>
              <w:rPr>
                <w:b/>
                <w:bCs/>
                <w:sz w:val="17"/>
                <w:szCs w:val="17"/>
              </w:rPr>
              <w:t>7</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5,83</w:t>
            </w:r>
            <w:r>
              <w:rPr>
                <w:sz w:val="17"/>
                <w:szCs w:val="17"/>
              </w:rPr>
              <w:t>0</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13,61</w:t>
            </w:r>
            <w:r>
              <w:rPr>
                <w:sz w:val="17"/>
                <w:szCs w:val="17"/>
              </w:rPr>
              <w:t>6</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ind w:left="400"/>
              <w:rPr>
                <w:sz w:val="17"/>
                <w:szCs w:val="17"/>
              </w:rPr>
            </w:pPr>
            <w:r>
              <w:rPr>
                <w:sz w:val="17"/>
                <w:szCs w:val="17"/>
              </w:rPr>
              <w:t>Non-cash revenue and other incom</w:t>
            </w:r>
            <w:r>
              <w:rPr>
                <w:sz w:val="17"/>
                <w:szCs w:val="17"/>
              </w:rPr>
              <w:t>e</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w:t>
            </w:r>
            <w:r>
              <w:rPr>
                <w:b/>
                <w:bCs/>
                <w:sz w:val="17"/>
                <w:szCs w:val="17"/>
              </w:rPr>
              <w:t>3,99</w:t>
            </w:r>
            <w:r>
              <w:rPr>
                <w:b/>
                <w:bCs/>
                <w:sz w:val="17"/>
                <w:szCs w:val="17"/>
              </w:rPr>
              <w:t>8</w:t>
            </w:r>
          </w:p>
        </w:tc>
        <w:tc>
          <w:tcPr>
            <w:tcW w:w="0" w:type="auto"/>
            <w:noWrap/>
            <w:vAlign w:val="bottom"/>
            <w:hideMark/>
          </w:tcPr>
          <w:p w:rsidR="00000000" w:rsidRDefault="006D723D">
            <w:pPr>
              <w:pStyle w:val="a3"/>
              <w:spacing w:before="0" w:beforeAutospacing="0" w:after="0" w:afterAutospacing="0"/>
              <w:rPr>
                <w:sz w:val="17"/>
                <w:szCs w:val="17"/>
              </w:rPr>
            </w:pPr>
            <w:r>
              <w:rPr>
                <w:b/>
                <w:bCs/>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71</w:t>
            </w:r>
            <w:r>
              <w:rPr>
                <w:sz w:val="17"/>
                <w:szCs w:val="17"/>
              </w:rPr>
              <w:t>8</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7,30</w:t>
            </w:r>
            <w:r>
              <w:rPr>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6D723D">
            <w:pPr>
              <w:pStyle w:val="a3"/>
              <w:spacing w:before="0" w:beforeAutospacing="0" w:after="0" w:afterAutospacing="0"/>
              <w:ind w:left="400"/>
              <w:rPr>
                <w:sz w:val="17"/>
                <w:szCs w:val="17"/>
              </w:rPr>
            </w:pPr>
            <w:r>
              <w:rPr>
                <w:sz w:val="17"/>
                <w:szCs w:val="17"/>
              </w:rPr>
              <w:t>Non-cash equity compensatio</w:t>
            </w:r>
            <w:r>
              <w:rPr>
                <w:sz w:val="17"/>
                <w:szCs w:val="17"/>
              </w:rPr>
              <w:t>n</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17,56</w:t>
            </w:r>
            <w:r>
              <w:rPr>
                <w:b/>
                <w:bCs/>
                <w:sz w:val="17"/>
                <w:szCs w:val="17"/>
              </w:rPr>
              <w:t>8</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18,73</w:t>
            </w:r>
            <w:r>
              <w:rPr>
                <w:sz w:val="17"/>
                <w:szCs w:val="17"/>
              </w:rPr>
              <w:t>3</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17,26</w:t>
            </w:r>
            <w:r>
              <w:rPr>
                <w:sz w:val="17"/>
                <w:szCs w:val="17"/>
              </w:rPr>
              <w:t>4</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ind w:left="400"/>
              <w:rPr>
                <w:sz w:val="17"/>
                <w:szCs w:val="17"/>
              </w:rPr>
            </w:pPr>
            <w:r>
              <w:rPr>
                <w:sz w:val="17"/>
                <w:szCs w:val="17"/>
              </w:rPr>
              <w:t>Changes in assets and liabilities, net</w:t>
            </w:r>
            <w:r>
              <w:rPr>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gridSpan w:val="2"/>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ind w:left="600"/>
              <w:rPr>
                <w:sz w:val="17"/>
                <w:szCs w:val="17"/>
              </w:rPr>
            </w:pPr>
            <w:r>
              <w:rPr>
                <w:sz w:val="17"/>
                <w:szCs w:val="17"/>
              </w:rPr>
              <w:t>Accounts receivable, prepaid expenses and other asset</w:t>
            </w:r>
            <w:r>
              <w:rPr>
                <w:sz w:val="17"/>
                <w:szCs w:val="17"/>
              </w:rPr>
              <w:t>s</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w:t>
            </w:r>
            <w:r>
              <w:rPr>
                <w:b/>
                <w:bCs/>
                <w:sz w:val="17"/>
                <w:szCs w:val="17"/>
              </w:rPr>
              <w:t>35,17</w:t>
            </w:r>
            <w:r>
              <w:rPr>
                <w:b/>
                <w:bCs/>
                <w:sz w:val="17"/>
                <w:szCs w:val="17"/>
              </w:rPr>
              <w:t>2</w:t>
            </w:r>
          </w:p>
        </w:tc>
        <w:tc>
          <w:tcPr>
            <w:tcW w:w="0" w:type="auto"/>
            <w:noWrap/>
            <w:vAlign w:val="bottom"/>
            <w:hideMark/>
          </w:tcPr>
          <w:p w:rsidR="00000000" w:rsidRDefault="006D723D">
            <w:pPr>
              <w:pStyle w:val="a3"/>
              <w:spacing w:before="0" w:beforeAutospacing="0" w:after="0" w:afterAutospacing="0"/>
              <w:rPr>
                <w:sz w:val="17"/>
                <w:szCs w:val="17"/>
              </w:rPr>
            </w:pPr>
            <w:r>
              <w:rPr>
                <w:b/>
                <w:bCs/>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10,62</w:t>
            </w:r>
            <w:r>
              <w:rPr>
                <w:sz w:val="17"/>
                <w:szCs w:val="17"/>
              </w:rPr>
              <w:t>8</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16,76</w:t>
            </w:r>
            <w:r>
              <w:rPr>
                <w:sz w:val="17"/>
                <w:szCs w:val="17"/>
              </w:rPr>
              <w:t>9</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ind w:left="600"/>
              <w:rPr>
                <w:sz w:val="17"/>
                <w:szCs w:val="17"/>
              </w:rPr>
            </w:pPr>
            <w:r>
              <w:rPr>
                <w:sz w:val="17"/>
                <w:szCs w:val="17"/>
              </w:rPr>
              <w:t>Accounts payable, accrued expenses and other liabilitie</w:t>
            </w:r>
            <w:r>
              <w:rPr>
                <w:sz w:val="17"/>
                <w:szCs w:val="17"/>
              </w:rPr>
              <w:t>s</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w:t>
            </w:r>
            <w:r>
              <w:rPr>
                <w:b/>
                <w:bCs/>
                <w:sz w:val="17"/>
                <w:szCs w:val="17"/>
              </w:rPr>
              <w:t>24,22</w:t>
            </w:r>
            <w:r>
              <w:rPr>
                <w:b/>
                <w:bCs/>
                <w:sz w:val="17"/>
                <w:szCs w:val="17"/>
              </w:rPr>
              <w:t>3</w:t>
            </w:r>
          </w:p>
        </w:tc>
        <w:tc>
          <w:tcPr>
            <w:tcW w:w="0" w:type="auto"/>
            <w:noWrap/>
            <w:vAlign w:val="bottom"/>
            <w:hideMark/>
          </w:tcPr>
          <w:p w:rsidR="00000000" w:rsidRDefault="006D723D">
            <w:pPr>
              <w:pStyle w:val="a3"/>
              <w:spacing w:before="0" w:beforeAutospacing="0" w:after="0" w:afterAutospacing="0"/>
              <w:rPr>
                <w:sz w:val="17"/>
                <w:szCs w:val="17"/>
              </w:rPr>
            </w:pPr>
            <w:r>
              <w:rPr>
                <w:b/>
                <w:bCs/>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31,66</w:t>
            </w:r>
            <w:r>
              <w:rPr>
                <w:sz w:val="17"/>
                <w:szCs w:val="17"/>
              </w:rPr>
              <w:t>6</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17,72</w:t>
            </w:r>
            <w:r>
              <w:rPr>
                <w:sz w:val="17"/>
                <w:szCs w:val="17"/>
              </w:rPr>
              <w:t>7</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ind w:left="800"/>
              <w:rPr>
                <w:sz w:val="17"/>
                <w:szCs w:val="17"/>
              </w:rPr>
            </w:pPr>
            <w:r>
              <w:rPr>
                <w:sz w:val="17"/>
                <w:szCs w:val="17"/>
              </w:rPr>
              <w:t>Net cash provided by operating activitie</w:t>
            </w:r>
            <w:r>
              <w:rPr>
                <w:sz w:val="17"/>
                <w:szCs w:val="17"/>
              </w:rPr>
              <w:t>s</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153,58</w:t>
            </w:r>
            <w:r>
              <w:rPr>
                <w:b/>
                <w:bCs/>
                <w:sz w:val="17"/>
                <w:szCs w:val="17"/>
              </w:rPr>
              <w:t>3</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263,23</w:t>
            </w:r>
            <w:r>
              <w:rPr>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355,53</w:t>
            </w:r>
            <w:r>
              <w:rPr>
                <w:sz w:val="17"/>
                <w:szCs w:val="17"/>
              </w:rPr>
              <w:t>0</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7"/>
                <w:szCs w:val="17"/>
              </w:rPr>
            </w:pPr>
            <w:r>
              <w:rPr>
                <w:b/>
                <w:bCs/>
                <w:sz w:val="17"/>
                <w:szCs w:val="17"/>
              </w:rPr>
              <w:t>CASH FLOWS FROM INVESTING ACTIVITIES</w:t>
            </w:r>
            <w:r>
              <w:rPr>
                <w:b/>
                <w:bCs/>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gridSpan w:val="2"/>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ind w:left="200"/>
              <w:rPr>
                <w:sz w:val="17"/>
                <w:szCs w:val="17"/>
              </w:rPr>
            </w:pPr>
            <w:r>
              <w:rPr>
                <w:sz w:val="17"/>
                <w:szCs w:val="17"/>
              </w:rPr>
              <w:t>Expenditures for facility development and expansion</w:t>
            </w:r>
            <w:r>
              <w:rPr>
                <w:sz w:val="17"/>
                <w:szCs w:val="17"/>
              </w:rPr>
              <w:t>s</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w:t>
            </w:r>
            <w:r>
              <w:rPr>
                <w:b/>
                <w:bCs/>
                <w:sz w:val="17"/>
                <w:szCs w:val="17"/>
              </w:rPr>
              <w:t>23,11</w:t>
            </w:r>
            <w:r>
              <w:rPr>
                <w:b/>
                <w:bCs/>
                <w:sz w:val="17"/>
                <w:szCs w:val="17"/>
              </w:rPr>
              <w:t>9</w:t>
            </w:r>
          </w:p>
        </w:tc>
        <w:tc>
          <w:tcPr>
            <w:tcW w:w="0" w:type="auto"/>
            <w:noWrap/>
            <w:vAlign w:val="bottom"/>
            <w:hideMark/>
          </w:tcPr>
          <w:p w:rsidR="00000000" w:rsidRDefault="006D723D">
            <w:pPr>
              <w:pStyle w:val="a3"/>
              <w:spacing w:before="0" w:beforeAutospacing="0" w:after="0" w:afterAutospacing="0"/>
              <w:rPr>
                <w:sz w:val="17"/>
                <w:szCs w:val="17"/>
              </w:rPr>
            </w:pPr>
            <w:r>
              <w:rPr>
                <w:b/>
                <w:bCs/>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18,61</w:t>
            </w:r>
            <w:r>
              <w:rPr>
                <w:sz w:val="17"/>
                <w:szCs w:val="17"/>
              </w:rPr>
              <w:t>2</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27,59</w:t>
            </w:r>
            <w:r>
              <w:rPr>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6D723D">
            <w:pPr>
              <w:pStyle w:val="a3"/>
              <w:spacing w:before="0" w:beforeAutospacing="0" w:after="0" w:afterAutospacing="0"/>
              <w:ind w:left="200"/>
              <w:rPr>
                <w:sz w:val="17"/>
                <w:szCs w:val="17"/>
              </w:rPr>
            </w:pPr>
            <w:r>
              <w:rPr>
                <w:sz w:val="17"/>
                <w:szCs w:val="17"/>
              </w:rPr>
              <w:t>Expenditures for other capital improvement</w:t>
            </w:r>
            <w:r>
              <w:rPr>
                <w:sz w:val="17"/>
                <w:szCs w:val="17"/>
              </w:rPr>
              <w:t>s</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w:t>
            </w:r>
            <w:r>
              <w:rPr>
                <w:b/>
                <w:bCs/>
                <w:sz w:val="17"/>
                <w:szCs w:val="17"/>
              </w:rPr>
              <w:t>58,27</w:t>
            </w:r>
            <w:r>
              <w:rPr>
                <w:b/>
                <w:bCs/>
                <w:sz w:val="17"/>
                <w:szCs w:val="17"/>
              </w:rPr>
              <w:t>7</w:t>
            </w:r>
          </w:p>
        </w:tc>
        <w:tc>
          <w:tcPr>
            <w:tcW w:w="0" w:type="auto"/>
            <w:noWrap/>
            <w:vAlign w:val="bottom"/>
            <w:hideMark/>
          </w:tcPr>
          <w:p w:rsidR="00000000" w:rsidRDefault="006D723D">
            <w:pPr>
              <w:pStyle w:val="a3"/>
              <w:spacing w:before="0" w:beforeAutospacing="0" w:after="0" w:afterAutospacing="0"/>
              <w:rPr>
                <w:sz w:val="17"/>
                <w:szCs w:val="17"/>
              </w:rPr>
            </w:pPr>
            <w:r>
              <w:rPr>
                <w:b/>
                <w:bCs/>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62,27</w:t>
            </w:r>
            <w:r>
              <w:rPr>
                <w:sz w:val="17"/>
                <w:szCs w:val="17"/>
              </w:rPr>
              <w:t>2</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56,19</w:t>
            </w:r>
            <w:r>
              <w:rPr>
                <w:sz w:val="17"/>
                <w:szCs w:val="17"/>
              </w:rPr>
              <w:t>6</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6D723D">
            <w:pPr>
              <w:pStyle w:val="a3"/>
              <w:spacing w:before="0" w:beforeAutospacing="0" w:after="0" w:afterAutospacing="0"/>
              <w:ind w:left="200"/>
              <w:rPr>
                <w:sz w:val="17"/>
                <w:szCs w:val="17"/>
              </w:rPr>
            </w:pPr>
            <w:r>
              <w:rPr>
                <w:sz w:val="17"/>
                <w:szCs w:val="17"/>
              </w:rPr>
              <w:t>Acquisitions, net of cash acquire</w:t>
            </w:r>
            <w:r>
              <w:rPr>
                <w:sz w:val="17"/>
                <w:szCs w:val="17"/>
              </w:rPr>
              <w:t>d</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b/>
                <w:bCs/>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8,84</w:t>
            </w:r>
            <w:r>
              <w:rPr>
                <w:sz w:val="17"/>
                <w:szCs w:val="17"/>
              </w:rPr>
              <w:t>9</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6D723D">
            <w:pPr>
              <w:pStyle w:val="a3"/>
              <w:spacing w:before="0" w:beforeAutospacing="0" w:after="0" w:afterAutospacing="0"/>
              <w:ind w:left="200"/>
              <w:rPr>
                <w:sz w:val="17"/>
                <w:szCs w:val="17"/>
              </w:rPr>
            </w:pPr>
            <w:r>
              <w:rPr>
                <w:sz w:val="17"/>
                <w:szCs w:val="17"/>
              </w:rPr>
              <w:t>Net proceeds from sale of asset</w:t>
            </w:r>
            <w:r>
              <w:rPr>
                <w:sz w:val="17"/>
                <w:szCs w:val="17"/>
              </w:rPr>
              <w:t>s</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157,68</w:t>
            </w:r>
            <w:r>
              <w:rPr>
                <w:b/>
                <w:bCs/>
                <w:sz w:val="17"/>
                <w:szCs w:val="17"/>
              </w:rPr>
              <w:t>0</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320,75</w:t>
            </w:r>
            <w:r>
              <w:rPr>
                <w:sz w:val="17"/>
                <w:szCs w:val="17"/>
              </w:rPr>
              <w:t>4</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113,60</w:t>
            </w:r>
            <w:r>
              <w:rPr>
                <w:sz w:val="17"/>
                <w:szCs w:val="17"/>
              </w:rPr>
              <w:t>2</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ind w:left="200"/>
              <w:rPr>
                <w:sz w:val="17"/>
                <w:szCs w:val="17"/>
              </w:rPr>
            </w:pPr>
            <w:r>
              <w:rPr>
                <w:sz w:val="17"/>
                <w:szCs w:val="17"/>
              </w:rPr>
              <w:t>Increase in other asset</w:t>
            </w:r>
            <w:r>
              <w:rPr>
                <w:sz w:val="17"/>
                <w:szCs w:val="17"/>
              </w:rPr>
              <w:t>s</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w:t>
            </w:r>
            <w:r>
              <w:rPr>
                <w:b/>
                <w:bCs/>
                <w:sz w:val="17"/>
                <w:szCs w:val="17"/>
              </w:rPr>
              <w:t>3,24</w:t>
            </w:r>
            <w:r>
              <w:rPr>
                <w:b/>
                <w:bCs/>
                <w:sz w:val="17"/>
                <w:szCs w:val="17"/>
              </w:rPr>
              <w:t>6</w:t>
            </w:r>
          </w:p>
        </w:tc>
        <w:tc>
          <w:tcPr>
            <w:tcW w:w="0" w:type="auto"/>
            <w:noWrap/>
            <w:vAlign w:val="bottom"/>
            <w:hideMark/>
          </w:tcPr>
          <w:p w:rsidR="00000000" w:rsidRDefault="006D723D">
            <w:pPr>
              <w:pStyle w:val="a3"/>
              <w:spacing w:before="0" w:beforeAutospacing="0" w:after="0" w:afterAutospacing="0"/>
              <w:rPr>
                <w:sz w:val="17"/>
                <w:szCs w:val="17"/>
              </w:rPr>
            </w:pPr>
            <w:r>
              <w:rPr>
                <w:b/>
                <w:bCs/>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1,44</w:t>
            </w:r>
            <w:r>
              <w:rPr>
                <w:sz w:val="17"/>
                <w:szCs w:val="17"/>
              </w:rPr>
              <w:t>7</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7,99</w:t>
            </w:r>
            <w:r>
              <w:rPr>
                <w:sz w:val="17"/>
                <w:szCs w:val="17"/>
              </w:rPr>
              <w:t>8</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6D723D">
            <w:pPr>
              <w:pStyle w:val="a3"/>
              <w:spacing w:before="0" w:beforeAutospacing="0" w:after="0" w:afterAutospacing="0"/>
              <w:ind w:left="800"/>
              <w:rPr>
                <w:sz w:val="17"/>
                <w:szCs w:val="17"/>
              </w:rPr>
            </w:pPr>
            <w:r>
              <w:rPr>
                <w:sz w:val="17"/>
                <w:szCs w:val="17"/>
              </w:rPr>
              <w:t>Net cash provided by investing activitie</w:t>
            </w:r>
            <w:r>
              <w:rPr>
                <w:sz w:val="17"/>
                <w:szCs w:val="17"/>
              </w:rPr>
              <w:t>s</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73,03</w:t>
            </w:r>
            <w:r>
              <w:rPr>
                <w:b/>
                <w:bCs/>
                <w:sz w:val="17"/>
                <w:szCs w:val="17"/>
              </w:rPr>
              <w:t>8</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238,42</w:t>
            </w:r>
            <w:r>
              <w:rPr>
                <w:sz w:val="17"/>
                <w:szCs w:val="17"/>
              </w:rPr>
              <w:t>3</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12,96</w:t>
            </w:r>
            <w:r>
              <w:rPr>
                <w:sz w:val="17"/>
                <w:szCs w:val="17"/>
              </w:rPr>
              <w:t>8</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7"/>
                <w:szCs w:val="17"/>
              </w:rPr>
            </w:pPr>
            <w:r>
              <w:rPr>
                <w:b/>
                <w:bCs/>
                <w:sz w:val="17"/>
                <w:szCs w:val="17"/>
              </w:rPr>
              <w:t>CASH FLOWS FROM FINANCING ACTIVITIES</w:t>
            </w:r>
            <w:r>
              <w:rPr>
                <w:b/>
                <w:bCs/>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gridSpan w:val="2"/>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ind w:left="200"/>
              <w:rPr>
                <w:sz w:val="17"/>
                <w:szCs w:val="17"/>
              </w:rPr>
            </w:pPr>
            <w:r>
              <w:rPr>
                <w:sz w:val="17"/>
                <w:szCs w:val="17"/>
              </w:rPr>
              <w:t>Proceeds from issuance of debt and borrowings from credit facilit</w:t>
            </w:r>
            <w:r>
              <w:rPr>
                <w:sz w:val="17"/>
                <w:szCs w:val="17"/>
              </w:rPr>
              <w:t>y</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100,00</w:t>
            </w:r>
            <w:r>
              <w:rPr>
                <w:b/>
                <w:bCs/>
                <w:sz w:val="17"/>
                <w:szCs w:val="17"/>
              </w:rPr>
              <w:t>0</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740,56</w:t>
            </w:r>
            <w:r>
              <w:rPr>
                <w:sz w:val="17"/>
                <w:szCs w:val="17"/>
              </w:rPr>
              <w:t>3</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374,00</w:t>
            </w:r>
            <w:r>
              <w:rPr>
                <w:sz w:val="17"/>
                <w:szCs w:val="17"/>
              </w:rPr>
              <w:t>0</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ind w:left="200"/>
              <w:rPr>
                <w:sz w:val="17"/>
                <w:szCs w:val="17"/>
              </w:rPr>
            </w:pPr>
            <w:r>
              <w:rPr>
                <w:sz w:val="17"/>
                <w:szCs w:val="17"/>
              </w:rPr>
              <w:t>Scheduled principal repayment</w:t>
            </w:r>
            <w:r>
              <w:rPr>
                <w:sz w:val="17"/>
                <w:szCs w:val="17"/>
              </w:rPr>
              <w:t>s</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w:t>
            </w:r>
            <w:r>
              <w:rPr>
                <w:b/>
                <w:bCs/>
                <w:sz w:val="17"/>
                <w:szCs w:val="17"/>
              </w:rPr>
              <w:t>15,06</w:t>
            </w:r>
            <w:r>
              <w:rPr>
                <w:b/>
                <w:bCs/>
                <w:sz w:val="17"/>
                <w:szCs w:val="17"/>
              </w:rPr>
              <w:t>4</w:t>
            </w:r>
          </w:p>
        </w:tc>
        <w:tc>
          <w:tcPr>
            <w:tcW w:w="0" w:type="auto"/>
            <w:noWrap/>
            <w:vAlign w:val="bottom"/>
            <w:hideMark/>
          </w:tcPr>
          <w:p w:rsidR="00000000" w:rsidRDefault="006D723D">
            <w:pPr>
              <w:pStyle w:val="a3"/>
              <w:spacing w:before="0" w:beforeAutospacing="0" w:after="0" w:afterAutospacing="0"/>
              <w:rPr>
                <w:sz w:val="17"/>
                <w:szCs w:val="17"/>
              </w:rPr>
            </w:pPr>
            <w:r>
              <w:rPr>
                <w:b/>
                <w:bCs/>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35,30</w:t>
            </w:r>
            <w:r>
              <w:rPr>
                <w:sz w:val="17"/>
                <w:szCs w:val="17"/>
              </w:rPr>
              <w:t>5</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32,25</w:t>
            </w:r>
            <w:r>
              <w:rPr>
                <w:sz w:val="17"/>
                <w:szCs w:val="17"/>
              </w:rPr>
              <w:t>4</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6D723D">
            <w:pPr>
              <w:pStyle w:val="a3"/>
              <w:spacing w:before="0" w:beforeAutospacing="0" w:after="0" w:afterAutospacing="0"/>
              <w:ind w:left="200"/>
              <w:rPr>
                <w:sz w:val="17"/>
                <w:szCs w:val="17"/>
              </w:rPr>
            </w:pPr>
            <w:r>
              <w:rPr>
                <w:sz w:val="17"/>
                <w:szCs w:val="17"/>
              </w:rPr>
              <w:t>Principal repayments of credit facilit</w:t>
            </w:r>
            <w:r>
              <w:rPr>
                <w:sz w:val="17"/>
                <w:szCs w:val="17"/>
              </w:rPr>
              <w:t>y</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b/>
                <w:bCs/>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284,00</w:t>
            </w:r>
            <w:r>
              <w:rPr>
                <w:sz w:val="17"/>
                <w:szCs w:val="17"/>
              </w:rPr>
              <w:t>0</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520,00</w:t>
            </w:r>
            <w:r>
              <w:rPr>
                <w:sz w:val="17"/>
                <w:szCs w:val="17"/>
              </w:rPr>
              <w:t>0</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6D723D">
            <w:pPr>
              <w:pStyle w:val="a3"/>
              <w:spacing w:before="0" w:beforeAutospacing="0" w:after="0" w:afterAutospacing="0"/>
              <w:ind w:left="200"/>
              <w:rPr>
                <w:sz w:val="17"/>
                <w:szCs w:val="17"/>
              </w:rPr>
            </w:pPr>
            <w:r>
              <w:rPr>
                <w:sz w:val="17"/>
                <w:szCs w:val="17"/>
              </w:rPr>
              <w:t>Repayment of non-recourse mortgage note</w:t>
            </w:r>
            <w:r>
              <w:rPr>
                <w:sz w:val="17"/>
                <w:szCs w:val="17"/>
              </w:rPr>
              <w:t>s</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b/>
                <w:bCs/>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161,93</w:t>
            </w:r>
            <w:r>
              <w:rPr>
                <w:sz w:val="17"/>
                <w:szCs w:val="17"/>
              </w:rPr>
              <w:t>0</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51,31</w:t>
            </w:r>
            <w:r>
              <w:rPr>
                <w:sz w:val="17"/>
                <w:szCs w:val="17"/>
              </w:rPr>
              <w:t>1</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6D723D">
            <w:pPr>
              <w:pStyle w:val="a3"/>
              <w:spacing w:before="0" w:beforeAutospacing="0" w:after="0" w:afterAutospacing="0"/>
              <w:ind w:left="200"/>
              <w:rPr>
                <w:sz w:val="17"/>
                <w:szCs w:val="17"/>
              </w:rPr>
            </w:pPr>
            <w:r>
              <w:rPr>
                <w:sz w:val="17"/>
                <w:szCs w:val="17"/>
              </w:rPr>
              <w:t>Other repayments of deb</w:t>
            </w:r>
            <w:r>
              <w:rPr>
                <w:sz w:val="17"/>
                <w:szCs w:val="17"/>
              </w:rPr>
              <w:t>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w:t>
            </w:r>
            <w:r>
              <w:rPr>
                <w:b/>
                <w:bCs/>
                <w:sz w:val="17"/>
                <w:szCs w:val="17"/>
              </w:rPr>
              <w:t>372,34</w:t>
            </w:r>
            <w:r>
              <w:rPr>
                <w:b/>
                <w:bCs/>
                <w:sz w:val="17"/>
                <w:szCs w:val="17"/>
              </w:rPr>
              <w:t>6</w:t>
            </w:r>
          </w:p>
        </w:tc>
        <w:tc>
          <w:tcPr>
            <w:tcW w:w="0" w:type="auto"/>
            <w:noWrap/>
            <w:vAlign w:val="bottom"/>
            <w:hideMark/>
          </w:tcPr>
          <w:p w:rsidR="00000000" w:rsidRDefault="006D723D">
            <w:pPr>
              <w:pStyle w:val="a3"/>
              <w:spacing w:before="0" w:beforeAutospacing="0" w:after="0" w:afterAutospacing="0"/>
              <w:rPr>
                <w:sz w:val="17"/>
                <w:szCs w:val="17"/>
              </w:rPr>
            </w:pPr>
            <w:r>
              <w:rPr>
                <w:b/>
                <w:bCs/>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516,35</w:t>
            </w:r>
            <w:r>
              <w:rPr>
                <w:sz w:val="17"/>
                <w:szCs w:val="17"/>
              </w:rPr>
              <w:t>0</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ind w:left="200"/>
              <w:rPr>
                <w:sz w:val="17"/>
                <w:szCs w:val="17"/>
              </w:rPr>
            </w:pPr>
            <w:r>
              <w:rPr>
                <w:sz w:val="17"/>
                <w:szCs w:val="17"/>
              </w:rPr>
              <w:t xml:space="preserve">Payment of debt defeasance, issuance and other refinancing and </w:t>
            </w:r>
            <w:r>
              <w:rPr>
                <w:sz w:val="17"/>
                <w:szCs w:val="17"/>
              </w:rPr>
              <w:br/>
              <w:t>    related cost</w:t>
            </w:r>
            <w:r>
              <w:rPr>
                <w:sz w:val="17"/>
                <w:szCs w:val="17"/>
              </w:rPr>
              <w:t>s</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w:t>
            </w:r>
            <w:r>
              <w:rPr>
                <w:b/>
                <w:bCs/>
                <w:sz w:val="17"/>
                <w:szCs w:val="17"/>
              </w:rPr>
              <w:t>6,40</w:t>
            </w:r>
            <w:r>
              <w:rPr>
                <w:b/>
                <w:bCs/>
                <w:sz w:val="17"/>
                <w:szCs w:val="17"/>
              </w:rPr>
              <w:t>2</w:t>
            </w:r>
          </w:p>
        </w:tc>
        <w:tc>
          <w:tcPr>
            <w:tcW w:w="0" w:type="auto"/>
            <w:noWrap/>
            <w:vAlign w:val="bottom"/>
            <w:hideMark/>
          </w:tcPr>
          <w:p w:rsidR="00000000" w:rsidRDefault="006D723D">
            <w:pPr>
              <w:pStyle w:val="a3"/>
              <w:spacing w:before="0" w:beforeAutospacing="0" w:after="0" w:afterAutospacing="0"/>
              <w:rPr>
                <w:sz w:val="17"/>
                <w:szCs w:val="17"/>
              </w:rPr>
            </w:pPr>
            <w:r>
              <w:rPr>
                <w:b/>
                <w:bCs/>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64,98</w:t>
            </w:r>
            <w:r>
              <w:rPr>
                <w:sz w:val="17"/>
                <w:szCs w:val="17"/>
              </w:rPr>
              <w:t>7</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11,16</w:t>
            </w:r>
            <w:r>
              <w:rPr>
                <w:sz w:val="17"/>
                <w:szCs w:val="17"/>
              </w:rPr>
              <w:t>2</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6D723D">
            <w:pPr>
              <w:pStyle w:val="a3"/>
              <w:spacing w:before="0" w:beforeAutospacing="0" w:after="0" w:afterAutospacing="0"/>
              <w:ind w:left="200"/>
              <w:rPr>
                <w:sz w:val="17"/>
                <w:szCs w:val="17"/>
              </w:rPr>
            </w:pPr>
            <w:r>
              <w:rPr>
                <w:sz w:val="17"/>
                <w:szCs w:val="17"/>
              </w:rPr>
              <w:t>Payment of lease obligations for financing lease</w:t>
            </w:r>
            <w:r>
              <w:rPr>
                <w:sz w:val="17"/>
                <w:szCs w:val="17"/>
              </w:rPr>
              <w:t>s</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w:t>
            </w:r>
            <w:r>
              <w:rPr>
                <w:b/>
                <w:bCs/>
                <w:sz w:val="17"/>
                <w:szCs w:val="17"/>
              </w:rPr>
              <w:t>57</w:t>
            </w:r>
            <w:r>
              <w:rPr>
                <w:b/>
                <w:bCs/>
                <w:sz w:val="17"/>
                <w:szCs w:val="17"/>
              </w:rPr>
              <w:t>8</w:t>
            </w:r>
          </w:p>
        </w:tc>
        <w:tc>
          <w:tcPr>
            <w:tcW w:w="0" w:type="auto"/>
            <w:noWrap/>
            <w:vAlign w:val="bottom"/>
            <w:hideMark/>
          </w:tcPr>
          <w:p w:rsidR="00000000" w:rsidRDefault="006D723D">
            <w:pPr>
              <w:pStyle w:val="a3"/>
              <w:spacing w:before="0" w:beforeAutospacing="0" w:after="0" w:afterAutospacing="0"/>
              <w:rPr>
                <w:sz w:val="17"/>
                <w:szCs w:val="17"/>
              </w:rPr>
            </w:pPr>
            <w:r>
              <w:rPr>
                <w:b/>
                <w:bCs/>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55</w:t>
            </w:r>
            <w:r>
              <w:rPr>
                <w:sz w:val="17"/>
                <w:szCs w:val="17"/>
              </w:rPr>
              <w:t>9</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54</w:t>
            </w:r>
            <w:r>
              <w:rPr>
                <w:sz w:val="17"/>
                <w:szCs w:val="17"/>
              </w:rPr>
              <w:t>3</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6D723D">
            <w:pPr>
              <w:pStyle w:val="a3"/>
              <w:spacing w:before="0" w:beforeAutospacing="0" w:after="0" w:afterAutospacing="0"/>
              <w:ind w:left="200"/>
              <w:rPr>
                <w:sz w:val="17"/>
                <w:szCs w:val="17"/>
              </w:rPr>
            </w:pPr>
            <w:r>
              <w:rPr>
                <w:sz w:val="17"/>
                <w:szCs w:val="17"/>
              </w:rPr>
              <w:t>Contingent consideration for acquisition of businesse</w:t>
            </w:r>
            <w:r>
              <w:rPr>
                <w:sz w:val="17"/>
                <w:szCs w:val="17"/>
              </w:rPr>
              <w:t>s</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b/>
                <w:bCs/>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1,00</w:t>
            </w:r>
            <w:r>
              <w:rPr>
                <w:sz w:val="17"/>
                <w:szCs w:val="17"/>
              </w:rPr>
              <w:t>0</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ind w:left="200"/>
              <w:rPr>
                <w:sz w:val="17"/>
                <w:szCs w:val="17"/>
              </w:rPr>
            </w:pPr>
            <w:r>
              <w:rPr>
                <w:sz w:val="17"/>
                <w:szCs w:val="17"/>
              </w:rPr>
              <w:t>Purchase and retirement of common stoc</w:t>
            </w:r>
            <w:r>
              <w:rPr>
                <w:sz w:val="17"/>
                <w:szCs w:val="17"/>
              </w:rPr>
              <w:t>k</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w:t>
            </w:r>
            <w:r>
              <w:rPr>
                <w:b/>
                <w:bCs/>
                <w:sz w:val="17"/>
                <w:szCs w:val="17"/>
              </w:rPr>
              <w:t>79,88</w:t>
            </w:r>
            <w:r>
              <w:rPr>
                <w:b/>
                <w:bCs/>
                <w:sz w:val="17"/>
                <w:szCs w:val="17"/>
              </w:rPr>
              <w:t>7</w:t>
            </w:r>
          </w:p>
        </w:tc>
        <w:tc>
          <w:tcPr>
            <w:tcW w:w="0" w:type="auto"/>
            <w:noWrap/>
            <w:vAlign w:val="bottom"/>
            <w:hideMark/>
          </w:tcPr>
          <w:p w:rsidR="00000000" w:rsidRDefault="006D723D">
            <w:pPr>
              <w:pStyle w:val="a3"/>
              <w:spacing w:before="0" w:beforeAutospacing="0" w:after="0" w:afterAutospacing="0"/>
              <w:rPr>
                <w:sz w:val="17"/>
                <w:szCs w:val="17"/>
              </w:rPr>
            </w:pPr>
            <w:r>
              <w:rPr>
                <w:b/>
                <w:bCs/>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1,63</w:t>
            </w:r>
            <w:r>
              <w:rPr>
                <w:sz w:val="17"/>
                <w:szCs w:val="17"/>
              </w:rPr>
              <w:t>9</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3,57</w:t>
            </w:r>
            <w:r>
              <w:rPr>
                <w:sz w:val="17"/>
                <w:szCs w:val="17"/>
              </w:rPr>
              <w:t>5</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6D723D">
            <w:pPr>
              <w:pStyle w:val="a3"/>
              <w:spacing w:before="0" w:beforeAutospacing="0" w:after="0" w:afterAutospacing="0"/>
              <w:ind w:left="200"/>
              <w:rPr>
                <w:sz w:val="17"/>
                <w:szCs w:val="17"/>
              </w:rPr>
            </w:pPr>
            <w:r>
              <w:rPr>
                <w:sz w:val="17"/>
                <w:szCs w:val="17"/>
              </w:rPr>
              <w:t>Dividends pai</w:t>
            </w:r>
            <w:r>
              <w:rPr>
                <w:sz w:val="17"/>
                <w:szCs w:val="17"/>
              </w:rPr>
              <w:t>d</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w:t>
            </w:r>
            <w:r>
              <w:rPr>
                <w:b/>
                <w:bCs/>
                <w:sz w:val="17"/>
                <w:szCs w:val="17"/>
              </w:rPr>
              <w:t>88</w:t>
            </w:r>
            <w:r>
              <w:rPr>
                <w:b/>
                <w:bCs/>
                <w:sz w:val="17"/>
                <w:szCs w:val="17"/>
              </w:rPr>
              <w:t>6</w:t>
            </w:r>
          </w:p>
        </w:tc>
        <w:tc>
          <w:tcPr>
            <w:tcW w:w="0" w:type="auto"/>
            <w:noWrap/>
            <w:vAlign w:val="bottom"/>
            <w:hideMark/>
          </w:tcPr>
          <w:p w:rsidR="00000000" w:rsidRDefault="006D723D">
            <w:pPr>
              <w:pStyle w:val="a3"/>
              <w:spacing w:before="0" w:beforeAutospacing="0" w:after="0" w:afterAutospacing="0"/>
              <w:rPr>
                <w:sz w:val="17"/>
                <w:szCs w:val="17"/>
              </w:rPr>
            </w:pPr>
            <w:r>
              <w:rPr>
                <w:b/>
                <w:bCs/>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2,50</w:t>
            </w:r>
            <w:r>
              <w:rPr>
                <w:sz w:val="17"/>
                <w:szCs w:val="17"/>
              </w:rPr>
              <w:t>8</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105,97</w:t>
            </w:r>
            <w:r>
              <w:rPr>
                <w:sz w:val="17"/>
                <w:szCs w:val="17"/>
              </w:rPr>
              <w:t>8</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6D723D">
            <w:pPr>
              <w:pStyle w:val="a3"/>
              <w:spacing w:before="0" w:beforeAutospacing="0" w:after="0" w:afterAutospacing="0"/>
              <w:ind w:left="800"/>
              <w:rPr>
                <w:sz w:val="17"/>
                <w:szCs w:val="17"/>
              </w:rPr>
            </w:pPr>
            <w:r>
              <w:rPr>
                <w:sz w:val="17"/>
                <w:szCs w:val="17"/>
              </w:rPr>
              <w:t>Net cash used in financing activitie</w:t>
            </w:r>
            <w:r>
              <w:rPr>
                <w:sz w:val="17"/>
                <w:szCs w:val="17"/>
              </w:rPr>
              <w:t>s</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w:t>
            </w:r>
            <w:r>
              <w:rPr>
                <w:b/>
                <w:bCs/>
                <w:sz w:val="17"/>
                <w:szCs w:val="17"/>
              </w:rPr>
              <w:t>375,16</w:t>
            </w:r>
            <w:r>
              <w:rPr>
                <w:b/>
                <w:bCs/>
                <w:sz w:val="17"/>
                <w:szCs w:val="17"/>
              </w:rPr>
              <w:t>3</w:t>
            </w:r>
          </w:p>
        </w:tc>
        <w:tc>
          <w:tcPr>
            <w:tcW w:w="0" w:type="auto"/>
            <w:noWrap/>
            <w:vAlign w:val="bottom"/>
            <w:hideMark/>
          </w:tcPr>
          <w:p w:rsidR="00000000" w:rsidRDefault="006D723D">
            <w:pPr>
              <w:pStyle w:val="a3"/>
              <w:spacing w:before="0" w:beforeAutospacing="0" w:after="0" w:afterAutospacing="0"/>
              <w:rPr>
                <w:sz w:val="17"/>
                <w:szCs w:val="17"/>
              </w:rPr>
            </w:pPr>
            <w:r>
              <w:rPr>
                <w:b/>
                <w:bCs/>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327,71</w:t>
            </w:r>
            <w:r>
              <w:rPr>
                <w:sz w:val="17"/>
                <w:szCs w:val="17"/>
              </w:rPr>
              <w:t>5</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w:t>
            </w:r>
            <w:r>
              <w:rPr>
                <w:sz w:val="17"/>
                <w:szCs w:val="17"/>
              </w:rPr>
              <w:t>350,82</w:t>
            </w:r>
            <w:r>
              <w:rPr>
                <w:sz w:val="17"/>
                <w:szCs w:val="17"/>
              </w:rPr>
              <w:t>3</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7"/>
                <w:szCs w:val="17"/>
              </w:rPr>
            </w:pPr>
            <w:r>
              <w:rPr>
                <w:b/>
                <w:bCs/>
                <w:sz w:val="17"/>
                <w:szCs w:val="17"/>
              </w:rPr>
              <w:t xml:space="preserve">NET INCREASE (DECREASE) IN CASH, CASH EQUIVALENTS </w:t>
            </w:r>
            <w:r>
              <w:rPr>
                <w:b/>
                <w:bCs/>
                <w:sz w:val="17"/>
                <w:szCs w:val="17"/>
              </w:rPr>
              <w:br/>
              <w:t>      AND RESTRICTED CAS</w:t>
            </w:r>
            <w:r>
              <w:rPr>
                <w:b/>
                <w:bCs/>
                <w:sz w:val="17"/>
                <w:szCs w:val="17"/>
              </w:rPr>
              <w:t>H</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w:t>
            </w:r>
            <w:r>
              <w:rPr>
                <w:b/>
                <w:bCs/>
                <w:sz w:val="17"/>
                <w:szCs w:val="17"/>
              </w:rPr>
              <w:t>148,54</w:t>
            </w:r>
            <w:r>
              <w:rPr>
                <w:b/>
                <w:bCs/>
                <w:sz w:val="17"/>
                <w:szCs w:val="17"/>
              </w:rPr>
              <w:t>2</w:t>
            </w:r>
          </w:p>
        </w:tc>
        <w:tc>
          <w:tcPr>
            <w:tcW w:w="0" w:type="auto"/>
            <w:noWrap/>
            <w:vAlign w:val="bottom"/>
            <w:hideMark/>
          </w:tcPr>
          <w:p w:rsidR="00000000" w:rsidRDefault="006D723D">
            <w:pPr>
              <w:pStyle w:val="a3"/>
              <w:spacing w:before="0" w:beforeAutospacing="0" w:after="0" w:afterAutospacing="0"/>
              <w:rPr>
                <w:sz w:val="17"/>
                <w:szCs w:val="17"/>
              </w:rPr>
            </w:pPr>
            <w:r>
              <w:rPr>
                <w:b/>
                <w:bCs/>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173,93</w:t>
            </w:r>
            <w:r>
              <w:rPr>
                <w:sz w:val="17"/>
                <w:szCs w:val="17"/>
              </w:rPr>
              <w:t>9</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17,67</w:t>
            </w:r>
            <w:r>
              <w:rPr>
                <w:sz w:val="17"/>
                <w:szCs w:val="17"/>
              </w:rPr>
              <w:t>5</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7"/>
                <w:szCs w:val="17"/>
              </w:rPr>
            </w:pPr>
            <w:r>
              <w:rPr>
                <w:b/>
                <w:bCs/>
                <w:sz w:val="17"/>
                <w:szCs w:val="17"/>
              </w:rPr>
              <w:t xml:space="preserve">CASH, CASH EQUIVALENTS AND RESTRICTED CASH, </w:t>
            </w:r>
            <w:r>
              <w:rPr>
                <w:b/>
                <w:bCs/>
                <w:sz w:val="17"/>
                <w:szCs w:val="17"/>
              </w:rPr>
              <w:br/>
              <w:t>      beginning of perio</w:t>
            </w:r>
            <w:r>
              <w:rPr>
                <w:b/>
                <w:bCs/>
                <w:sz w:val="17"/>
                <w:szCs w:val="17"/>
              </w:rPr>
              <w:t>d</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310,70</w:t>
            </w:r>
            <w:r>
              <w:rPr>
                <w:b/>
                <w:bCs/>
                <w:sz w:val="17"/>
                <w:szCs w:val="17"/>
              </w:rPr>
              <w:t>7</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136,76</w:t>
            </w:r>
            <w:r>
              <w:rPr>
                <w:sz w:val="17"/>
                <w:szCs w:val="17"/>
              </w:rPr>
              <w:t>8</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119,09</w:t>
            </w:r>
            <w:r>
              <w:rPr>
                <w:sz w:val="17"/>
                <w:szCs w:val="17"/>
              </w:rPr>
              <w:t>3</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7"/>
                <w:szCs w:val="17"/>
              </w:rPr>
            </w:pPr>
            <w:r>
              <w:rPr>
                <w:b/>
                <w:bCs/>
                <w:sz w:val="17"/>
                <w:szCs w:val="17"/>
              </w:rPr>
              <w:t xml:space="preserve">CASH, CASH EQUIVALENTS AND RESTRICTED CASH, </w:t>
            </w:r>
            <w:r>
              <w:rPr>
                <w:b/>
                <w:bCs/>
                <w:sz w:val="17"/>
                <w:szCs w:val="17"/>
              </w:rPr>
              <w:br/>
              <w:t>      end of perio</w:t>
            </w:r>
            <w:r>
              <w:rPr>
                <w:b/>
                <w:bCs/>
                <w:sz w:val="17"/>
                <w:szCs w:val="17"/>
              </w:rPr>
              <w:t>d</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b/>
                <w:bCs/>
                <w:sz w:val="17"/>
                <w:szCs w:val="17"/>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162,16</w:t>
            </w:r>
            <w:r>
              <w:rPr>
                <w:b/>
                <w:bCs/>
                <w:sz w:val="17"/>
                <w:szCs w:val="17"/>
              </w:rPr>
              <w:t>5</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310,70</w:t>
            </w:r>
            <w:r>
              <w:rPr>
                <w:sz w:val="17"/>
                <w:szCs w:val="17"/>
              </w:rPr>
              <w:t>7</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136,76</w:t>
            </w:r>
            <w:r>
              <w:rPr>
                <w:sz w:val="17"/>
                <w:szCs w:val="17"/>
              </w:rPr>
              <w:t>8</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7"/>
                <w:szCs w:val="17"/>
              </w:rPr>
            </w:pPr>
            <w:r>
              <w:rPr>
                <w:b/>
                <w:bCs/>
                <w:sz w:val="17"/>
                <w:szCs w:val="17"/>
              </w:rPr>
              <w:t>NON-CASH INVESTING AND FINANCING ACTIVITIES</w:t>
            </w:r>
            <w:r>
              <w:rPr>
                <w:b/>
                <w:bCs/>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gridSpan w:val="2"/>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7"/>
                <w:szCs w:val="17"/>
              </w:rPr>
            </w:pPr>
            <w:r>
              <w:rPr>
                <w:sz w:val="17"/>
                <w:szCs w:val="17"/>
              </w:rPr>
              <w:t>     Debt assumed on acquisition of propert</w:t>
            </w:r>
            <w:r>
              <w:rPr>
                <w:sz w:val="17"/>
                <w:szCs w:val="17"/>
              </w:rPr>
              <w:t>y</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b/>
                <w:bCs/>
                <w:sz w:val="17"/>
                <w:szCs w:val="17"/>
              </w:rPr>
              <w:t>$</w:t>
            </w:r>
          </w:p>
        </w:tc>
        <w:tc>
          <w:tcPr>
            <w:tcW w:w="0" w:type="auto"/>
            <w:vAlign w:val="bottom"/>
            <w:hideMark/>
          </w:tcPr>
          <w:p w:rsidR="00000000" w:rsidRDefault="006D723D">
            <w:pPr>
              <w:pStyle w:val="a3"/>
              <w:spacing w:before="0" w:beforeAutospacing="0" w:after="0" w:afterAutospacing="0"/>
              <w:jc w:val="right"/>
              <w:rPr>
                <w:sz w:val="17"/>
                <w:szCs w:val="17"/>
              </w:rPr>
            </w:pPr>
            <w:r>
              <w:rPr>
                <w:b/>
                <w:bCs/>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52,21</w:t>
            </w:r>
            <w:r>
              <w:rPr>
                <w:sz w:val="17"/>
                <w:szCs w:val="17"/>
              </w:rPr>
              <w:t>7</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7"/>
                <w:szCs w:val="17"/>
              </w:rPr>
            </w:pPr>
            <w:r>
              <w:rPr>
                <w:sz w:val="17"/>
                <w:szCs w:val="17"/>
              </w:rPr>
              <w:t>     </w:t>
            </w:r>
            <w:r>
              <w:rPr>
                <w:sz w:val="17"/>
                <w:szCs w:val="17"/>
              </w:rPr>
              <w:t>Establishment of right of use assets and lease liabilitie</w:t>
            </w:r>
            <w:r>
              <w:rPr>
                <w:sz w:val="17"/>
                <w:szCs w:val="17"/>
              </w:rPr>
              <w:t>s</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b/>
                <w:bCs/>
                <w:sz w:val="17"/>
                <w:szCs w:val="17"/>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2,09</w:t>
            </w:r>
            <w:r>
              <w:rPr>
                <w:b/>
                <w:bCs/>
                <w:sz w:val="17"/>
                <w:szCs w:val="17"/>
              </w:rPr>
              <w:t>6</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1,48</w:t>
            </w:r>
            <w:r>
              <w:rPr>
                <w:sz w:val="17"/>
                <w:szCs w:val="17"/>
              </w:rPr>
              <w:t>3</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116,26</w:t>
            </w:r>
            <w:r>
              <w:rPr>
                <w:sz w:val="17"/>
                <w:szCs w:val="17"/>
              </w:rPr>
              <w:t>3</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7"/>
                <w:szCs w:val="17"/>
              </w:rPr>
            </w:pPr>
            <w:r>
              <w:rPr>
                <w:sz w:val="17"/>
                <w:szCs w:val="17"/>
              </w:rPr>
              <w:t>     Distributions to non-controlling interes</w:t>
            </w:r>
            <w:r>
              <w:rPr>
                <w:sz w:val="17"/>
                <w:szCs w:val="17"/>
              </w:rPr>
              <w:t>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b/>
                <w:bCs/>
                <w:sz w:val="17"/>
                <w:szCs w:val="17"/>
              </w:rPr>
              <w:t>$</w:t>
            </w:r>
          </w:p>
        </w:tc>
        <w:tc>
          <w:tcPr>
            <w:tcW w:w="0" w:type="auto"/>
            <w:vAlign w:val="bottom"/>
            <w:hideMark/>
          </w:tcPr>
          <w:p w:rsidR="00000000" w:rsidRDefault="006D723D">
            <w:pPr>
              <w:pStyle w:val="a3"/>
              <w:spacing w:before="0" w:beforeAutospacing="0" w:after="0" w:afterAutospacing="0"/>
              <w:jc w:val="right"/>
              <w:rPr>
                <w:sz w:val="17"/>
                <w:szCs w:val="17"/>
              </w:rPr>
            </w:pPr>
            <w:r>
              <w:rPr>
                <w:b/>
                <w:bCs/>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5,89</w:t>
            </w:r>
            <w:r>
              <w:rPr>
                <w:sz w:val="17"/>
                <w:szCs w:val="17"/>
              </w:rPr>
              <w:t>7</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7"/>
                <w:szCs w:val="17"/>
              </w:rPr>
            </w:pPr>
            <w:r>
              <w:rPr>
                <w:b/>
                <w:bCs/>
                <w:sz w:val="17"/>
                <w:szCs w:val="17"/>
              </w:rPr>
              <w:t>SUPPLEMENTAL DISCLOSURES OF CASH FLOW INFORMATION</w:t>
            </w:r>
            <w:r>
              <w:rPr>
                <w:b/>
                <w:bCs/>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gridSpan w:val="2"/>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ind w:left="200"/>
              <w:rPr>
                <w:sz w:val="17"/>
                <w:szCs w:val="17"/>
              </w:rPr>
            </w:pPr>
            <w:r>
              <w:rPr>
                <w:sz w:val="17"/>
                <w:szCs w:val="17"/>
              </w:rPr>
              <w:t>Cash paid during the period for</w:t>
            </w:r>
            <w:r>
              <w:rPr>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gridSpan w:val="2"/>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ind w:left="400"/>
              <w:rPr>
                <w:sz w:val="20"/>
                <w:szCs w:val="20"/>
              </w:rPr>
            </w:pPr>
            <w:r>
              <w:rPr>
                <w:sz w:val="17"/>
                <w:szCs w:val="17"/>
              </w:rPr>
              <w:t xml:space="preserve">Interest (net of amounts capitalized of </w:t>
            </w:r>
            <w:r>
              <w:rPr>
                <w:sz w:val="17"/>
                <w:szCs w:val="17"/>
              </w:rPr>
              <w:t>$</w:t>
            </w:r>
            <w:r>
              <w:rPr>
                <w:sz w:val="17"/>
                <w:szCs w:val="17"/>
              </w:rPr>
              <w:t>1.</w:t>
            </w:r>
            <w:r>
              <w:rPr>
                <w:sz w:val="17"/>
                <w:szCs w:val="17"/>
              </w:rPr>
              <w:t>0</w:t>
            </w:r>
            <w:r>
              <w:rPr>
                <w:sz w:val="17"/>
                <w:szCs w:val="17"/>
              </w:rPr>
              <w:t xml:space="preserve"> million, </w:t>
            </w:r>
            <w:r>
              <w:rPr>
                <w:sz w:val="17"/>
                <w:szCs w:val="17"/>
              </w:rPr>
              <w:t>$</w:t>
            </w:r>
            <w:r>
              <w:rPr>
                <w:sz w:val="17"/>
                <w:szCs w:val="17"/>
              </w:rPr>
              <w:t>0.</w:t>
            </w:r>
            <w:r>
              <w:rPr>
                <w:sz w:val="17"/>
                <w:szCs w:val="17"/>
              </w:rPr>
              <w:t>4</w:t>
            </w:r>
            <w:r>
              <w:rPr>
                <w:sz w:val="17"/>
                <w:szCs w:val="17"/>
              </w:rPr>
              <w:t xml:space="preserve"> million, and </w:t>
            </w:r>
            <w:r>
              <w:rPr>
                <w:sz w:val="17"/>
                <w:szCs w:val="17"/>
              </w:rPr>
              <w:br/>
              <w:t>   </w:t>
            </w:r>
            <w:r>
              <w:rPr>
                <w:sz w:val="17"/>
                <w:szCs w:val="17"/>
              </w:rPr>
              <w:t>$</w:t>
            </w:r>
            <w:r>
              <w:rPr>
                <w:sz w:val="17"/>
                <w:szCs w:val="17"/>
              </w:rPr>
              <w:t>0.</w:t>
            </w:r>
            <w:r>
              <w:rPr>
                <w:sz w:val="17"/>
                <w:szCs w:val="17"/>
              </w:rPr>
              <w:t>5</w:t>
            </w:r>
            <w:r>
              <w:rPr>
                <w:sz w:val="17"/>
                <w:szCs w:val="17"/>
              </w:rPr>
              <w:t> </w:t>
            </w:r>
            <w:r>
              <w:rPr>
                <w:sz w:val="17"/>
                <w:szCs w:val="17"/>
              </w:rPr>
              <w:t>million in 2022, 2021, and 2020, respectively</w:t>
            </w:r>
            <w:r>
              <w:rPr>
                <w:sz w:val="17"/>
                <w:szCs w:val="17"/>
              </w:rPr>
              <w:t>)</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b/>
                <w:bCs/>
                <w:sz w:val="17"/>
                <w:szCs w:val="17"/>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90,81</w:t>
            </w:r>
            <w:r>
              <w:rPr>
                <w:b/>
                <w:bCs/>
                <w:sz w:val="17"/>
                <w:szCs w:val="17"/>
              </w:rPr>
              <w:t>5</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80,58</w:t>
            </w:r>
            <w:r>
              <w:rPr>
                <w:sz w:val="17"/>
                <w:szCs w:val="17"/>
              </w:rPr>
              <w:t>7</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88,13</w:t>
            </w:r>
            <w:r>
              <w:rPr>
                <w:sz w:val="17"/>
                <w:szCs w:val="17"/>
              </w:rPr>
              <w:t>2</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6D723D">
            <w:pPr>
              <w:pStyle w:val="a3"/>
              <w:spacing w:before="0" w:beforeAutospacing="0" w:after="0" w:afterAutospacing="0"/>
              <w:ind w:left="400"/>
              <w:rPr>
                <w:sz w:val="17"/>
                <w:szCs w:val="17"/>
              </w:rPr>
            </w:pPr>
            <w:r>
              <w:rPr>
                <w:sz w:val="17"/>
                <w:szCs w:val="17"/>
              </w:rPr>
              <w:t>Income taxes pai</w:t>
            </w:r>
            <w:r>
              <w:rPr>
                <w:sz w:val="17"/>
                <w:szCs w:val="17"/>
              </w:rPr>
              <w:t>d</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b/>
                <w:bCs/>
                <w:sz w:val="17"/>
                <w:szCs w:val="17"/>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7"/>
                <w:szCs w:val="17"/>
              </w:rPr>
              <w:t>28,28</w:t>
            </w:r>
            <w:r>
              <w:rPr>
                <w:b/>
                <w:bCs/>
                <w:sz w:val="17"/>
                <w:szCs w:val="17"/>
              </w:rPr>
              <w:t>6</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36,47</w:t>
            </w:r>
            <w:r>
              <w:rPr>
                <w:sz w:val="17"/>
                <w:szCs w:val="17"/>
              </w:rPr>
              <w:t>7</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c>
          <w:tcPr>
            <w:tcW w:w="0" w:type="auto"/>
            <w:vAlign w:val="bottom"/>
            <w:hideMark/>
          </w:tcPr>
          <w:p w:rsidR="00000000" w:rsidRDefault="006D723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w:t>
            </w:r>
          </w:p>
        </w:tc>
        <w:tc>
          <w:tcPr>
            <w:tcW w:w="0" w:type="auto"/>
            <w:vAlign w:val="bottom"/>
            <w:hideMark/>
          </w:tcPr>
          <w:p w:rsidR="00000000" w:rsidRDefault="006D723D">
            <w:pPr>
              <w:pStyle w:val="a3"/>
              <w:spacing w:before="0" w:beforeAutospacing="0" w:after="0" w:afterAutospacing="0"/>
              <w:jc w:val="right"/>
              <w:rPr>
                <w:sz w:val="20"/>
                <w:szCs w:val="20"/>
              </w:rPr>
            </w:pPr>
            <w:r>
              <w:rPr>
                <w:sz w:val="17"/>
                <w:szCs w:val="17"/>
              </w:rPr>
              <w:t>1,32</w:t>
            </w:r>
            <w:r>
              <w:rPr>
                <w:sz w:val="17"/>
                <w:szCs w:val="17"/>
              </w:rPr>
              <w:t>2</w:t>
            </w:r>
          </w:p>
        </w:tc>
        <w:tc>
          <w:tcPr>
            <w:tcW w:w="0" w:type="auto"/>
            <w:noWrap/>
            <w:vAlign w:val="bottom"/>
            <w:hideMark/>
          </w:tcPr>
          <w:p w:rsidR="00000000" w:rsidRDefault="006D723D">
            <w:pPr>
              <w:pStyle w:val="a3"/>
              <w:spacing w:before="0" w:beforeAutospacing="0" w:after="0" w:afterAutospacing="0"/>
              <w:rPr>
                <w:sz w:val="17"/>
                <w:szCs w:val="17"/>
              </w:rPr>
            </w:pPr>
            <w:r>
              <w:rPr>
                <w:sz w:val="17"/>
                <w:szCs w:val="17"/>
              </w:rPr>
              <w:t> </w:t>
            </w:r>
          </w:p>
        </w:tc>
      </w:tr>
    </w:tbl>
    <w:p w:rsidR="00000000" w:rsidRDefault="006D723D">
      <w:pPr>
        <w:pStyle w:val="a3"/>
        <w:spacing w:before="60" w:beforeAutospacing="0" w:after="0" w:afterAutospacing="0"/>
        <w:jc w:val="center"/>
        <w:rPr>
          <w:sz w:val="20"/>
          <w:szCs w:val="20"/>
        </w:rPr>
      </w:pPr>
      <w:r>
        <w:rPr>
          <w:sz w:val="20"/>
          <w:szCs w:val="20"/>
        </w:rPr>
        <w:t> </w:t>
      </w:r>
    </w:p>
    <w:p w:rsidR="00000000" w:rsidRDefault="006D723D">
      <w:pPr>
        <w:pStyle w:val="a3"/>
        <w:spacing w:before="6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6D723D">
      <w:pPr>
        <w:pStyle w:val="a3"/>
        <w:spacing w:before="0" w:beforeAutospacing="0" w:after="0" w:afterAutospacing="0"/>
        <w:jc w:val="center"/>
        <w:rPr>
          <w:sz w:val="20"/>
          <w:szCs w:val="20"/>
        </w:rPr>
      </w:pPr>
      <w:r>
        <w:rPr>
          <w:sz w:val="20"/>
          <w:szCs w:val="20"/>
        </w:rPr>
        <w:t>F</w:t>
      </w:r>
      <w:r>
        <w:rPr>
          <w:sz w:val="20"/>
          <w:szCs w:val="20"/>
        </w:rPr>
        <w:t>-</w:t>
      </w:r>
      <w:r>
        <w:rPr>
          <w:sz w:val="20"/>
          <w:szCs w:val="20"/>
        </w:rPr>
        <w:t>6</w:t>
      </w:r>
    </w:p>
    <w:p w:rsidR="00000000" w:rsidRDefault="006D723D">
      <w:pPr>
        <w:rPr>
          <w:rFonts w:eastAsia="Times New Roman"/>
        </w:rPr>
      </w:pPr>
      <w:r>
        <w:rPr>
          <w:rFonts w:eastAsia="Times New Roman"/>
        </w:rPr>
        <w:pict>
          <v:rect id="_x0000_i1134"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jc w:val="center"/>
        <w:rPr>
          <w:sz w:val="20"/>
          <w:szCs w:val="20"/>
        </w:rPr>
      </w:pPr>
      <w:r>
        <w:rPr>
          <w:b/>
          <w:bCs/>
          <w:sz w:val="20"/>
          <w:szCs w:val="20"/>
        </w:rPr>
        <w:t>CORECIVIC, INC. AND SUBSIDIARIE</w:t>
      </w:r>
      <w:r>
        <w:rPr>
          <w:b/>
          <w:bCs/>
          <w:sz w:val="20"/>
          <w:szCs w:val="20"/>
        </w:rPr>
        <w:t>S</w:t>
      </w:r>
    </w:p>
    <w:p w:rsidR="00000000" w:rsidRDefault="006D723D">
      <w:pPr>
        <w:pStyle w:val="a3"/>
        <w:spacing w:before="0" w:beforeAutospacing="0" w:after="0" w:afterAutospacing="0"/>
        <w:jc w:val="center"/>
        <w:rPr>
          <w:sz w:val="20"/>
          <w:szCs w:val="20"/>
        </w:rPr>
      </w:pPr>
      <w:r>
        <w:rPr>
          <w:b/>
          <w:bCs/>
          <w:sz w:val="20"/>
          <w:szCs w:val="20"/>
        </w:rPr>
        <w:t>CONSOLIDATED STAT</w:t>
      </w:r>
      <w:r>
        <w:rPr>
          <w:b/>
          <w:bCs/>
          <w:sz w:val="20"/>
          <w:szCs w:val="20"/>
        </w:rPr>
        <w:t>E</w:t>
      </w:r>
      <w:r>
        <w:rPr>
          <w:b/>
          <w:bCs/>
          <w:sz w:val="20"/>
          <w:szCs w:val="20"/>
        </w:rPr>
        <w:t>MENTS OF STOCKHOLDERS' EQUIT</w:t>
      </w:r>
      <w:r>
        <w:rPr>
          <w:b/>
          <w:bCs/>
          <w:sz w:val="20"/>
          <w:szCs w:val="20"/>
        </w:rPr>
        <w:t>Y</w:t>
      </w:r>
    </w:p>
    <w:p w:rsidR="00000000" w:rsidRDefault="006D723D">
      <w:pPr>
        <w:pStyle w:val="a3"/>
        <w:spacing w:before="0" w:beforeAutospacing="0" w:after="0" w:afterAutospacing="0"/>
        <w:jc w:val="center"/>
        <w:rPr>
          <w:sz w:val="20"/>
          <w:szCs w:val="20"/>
        </w:rPr>
      </w:pPr>
      <w:r>
        <w:rPr>
          <w:b/>
          <w:bCs/>
          <w:sz w:val="20"/>
          <w:szCs w:val="20"/>
        </w:rPr>
        <w:t>FOR THE YEARS ENDED DECEMBER 31, 2022, 2021 A</w:t>
      </w:r>
      <w:r>
        <w:rPr>
          <w:b/>
          <w:bCs/>
          <w:sz w:val="20"/>
          <w:szCs w:val="20"/>
        </w:rPr>
        <w:t>ND 202</w:t>
      </w:r>
      <w:r>
        <w:rPr>
          <w:b/>
          <w:bCs/>
          <w:sz w:val="20"/>
          <w:szCs w:val="20"/>
        </w:rPr>
        <w:t>0</w:t>
      </w:r>
    </w:p>
    <w:p w:rsidR="00000000" w:rsidRDefault="006D723D">
      <w:pPr>
        <w:pStyle w:val="a3"/>
        <w:spacing w:before="0" w:beforeAutospacing="0" w:after="0" w:afterAutospacing="0"/>
        <w:jc w:val="center"/>
        <w:rPr>
          <w:sz w:val="20"/>
          <w:szCs w:val="20"/>
        </w:rPr>
      </w:pPr>
      <w:r>
        <w:rPr>
          <w:sz w:val="20"/>
          <w:szCs w:val="20"/>
        </w:rPr>
        <w:t>(in thousands</w:t>
      </w:r>
      <w:r>
        <w:rPr>
          <w:sz w:val="20"/>
          <w:szCs w:val="20"/>
        </w:rPr>
        <w:t>)</w:t>
      </w:r>
    </w:p>
    <w:p w:rsidR="00000000" w:rsidRDefault="006D723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36"/>
        <w:gridCol w:w="110"/>
        <w:gridCol w:w="110"/>
        <w:gridCol w:w="710"/>
        <w:gridCol w:w="127"/>
        <w:gridCol w:w="110"/>
        <w:gridCol w:w="160"/>
        <w:gridCol w:w="510"/>
        <w:gridCol w:w="127"/>
        <w:gridCol w:w="110"/>
        <w:gridCol w:w="160"/>
        <w:gridCol w:w="860"/>
        <w:gridCol w:w="127"/>
        <w:gridCol w:w="110"/>
        <w:gridCol w:w="161"/>
        <w:gridCol w:w="839"/>
        <w:gridCol w:w="127"/>
        <w:gridCol w:w="110"/>
        <w:gridCol w:w="160"/>
        <w:gridCol w:w="860"/>
        <w:gridCol w:w="127"/>
        <w:gridCol w:w="161"/>
        <w:gridCol w:w="749"/>
        <w:gridCol w:w="127"/>
        <w:gridCol w:w="110"/>
        <w:gridCol w:w="160"/>
        <w:gridCol w:w="860"/>
        <w:gridCol w:w="142"/>
      </w:tblGrid>
      <w:tr w:rsidR="00000000">
        <w:trPr>
          <w:tblCellSpacing w:w="15" w:type="dxa"/>
        </w:trPr>
        <w:tc>
          <w:tcPr>
            <w:tcW w:w="1662" w:type="pct"/>
            <w:vAlign w:val="center"/>
            <w:hideMark/>
          </w:tcPr>
          <w:p w:rsidR="00000000" w:rsidRDefault="006D723D">
            <w:pPr>
              <w:rPr>
                <w:sz w:val="20"/>
                <w:szCs w:val="20"/>
              </w:rPr>
            </w:pPr>
          </w:p>
        </w:tc>
        <w:tc>
          <w:tcPr>
            <w:tcW w:w="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1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4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30"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15"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20"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65"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20"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tblCellSpacing w:w="15" w:type="dxa"/>
        </w:trPr>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18"/>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18"/>
            <w:vAlign w:val="bottom"/>
            <w:hideMark/>
          </w:tcPr>
          <w:p w:rsidR="00000000" w:rsidRDefault="006D723D">
            <w:pPr>
              <w:pStyle w:val="a3"/>
              <w:spacing w:before="0" w:beforeAutospacing="0" w:after="0" w:afterAutospacing="0"/>
              <w:jc w:val="center"/>
              <w:rPr>
                <w:sz w:val="16"/>
                <w:szCs w:val="16"/>
              </w:rPr>
            </w:pPr>
            <w:r>
              <w:rPr>
                <w:b/>
                <w:bCs/>
                <w:sz w:val="16"/>
                <w:szCs w:val="16"/>
              </w:rPr>
              <w:t>Stockholders' Equit</w:t>
            </w:r>
            <w:r>
              <w:rPr>
                <w:b/>
                <w:bCs/>
                <w:sz w:val="16"/>
                <w:szCs w:val="16"/>
              </w:rPr>
              <w:t>y</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Non</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controllin</w:t>
            </w:r>
            <w:r>
              <w:rPr>
                <w:b/>
                <w:bCs/>
                <w:sz w:val="16"/>
                <w:szCs w:val="16"/>
              </w:rPr>
              <w:t>g</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6D723D">
            <w:pPr>
              <w:pStyle w:val="a3"/>
              <w:spacing w:before="0" w:beforeAutospacing="0" w:after="0" w:afterAutospacing="0"/>
              <w:jc w:val="center"/>
              <w:rPr>
                <w:sz w:val="16"/>
                <w:szCs w:val="16"/>
              </w:rPr>
            </w:pPr>
            <w:r>
              <w:rPr>
                <w:b/>
                <w:bCs/>
                <w:sz w:val="16"/>
                <w:szCs w:val="16"/>
              </w:rPr>
              <w:t>Common Stoc</w:t>
            </w:r>
            <w:r>
              <w:rPr>
                <w:b/>
                <w:bCs/>
                <w:sz w:val="16"/>
                <w:szCs w:val="16"/>
              </w:rPr>
              <w:t>k</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Additiona</w:t>
            </w:r>
            <w:r>
              <w:rPr>
                <w:b/>
                <w:bCs/>
                <w:sz w:val="16"/>
                <w:szCs w:val="16"/>
              </w:rPr>
              <w:t>l</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 xml:space="preserve">Interest </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Pa</w:t>
            </w:r>
            <w:r>
              <w:rPr>
                <w:b/>
                <w:bCs/>
                <w:sz w:val="16"/>
                <w:szCs w:val="16"/>
              </w:rPr>
              <w:t>r</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Paid-i</w:t>
            </w:r>
            <w:r>
              <w:rPr>
                <w:b/>
                <w:bCs/>
                <w:sz w:val="16"/>
                <w:szCs w:val="16"/>
              </w:rPr>
              <w:t>n</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Accumulate</w:t>
            </w:r>
            <w:r>
              <w:rPr>
                <w:b/>
                <w:bCs/>
                <w:sz w:val="16"/>
                <w:szCs w:val="16"/>
              </w:rPr>
              <w:t>d</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Stockholders</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Operatin</w:t>
            </w:r>
            <w:r>
              <w:rPr>
                <w:b/>
                <w:bCs/>
                <w:sz w:val="16"/>
                <w:szCs w:val="16"/>
              </w:rPr>
              <w:t>g</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Share</w:t>
            </w:r>
            <w:r>
              <w:rPr>
                <w:b/>
                <w:bCs/>
                <w:sz w:val="16"/>
                <w:szCs w:val="16"/>
              </w:rPr>
              <w:t>s</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Valu</w:t>
            </w:r>
            <w:r>
              <w:rPr>
                <w:b/>
                <w:bCs/>
                <w:sz w:val="16"/>
                <w:szCs w:val="16"/>
              </w:rPr>
              <w:t>e</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Capita</w:t>
            </w:r>
            <w:r>
              <w:rPr>
                <w:b/>
                <w:bCs/>
                <w:sz w:val="16"/>
                <w:szCs w:val="16"/>
              </w:rPr>
              <w:t>l</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Defici</w:t>
            </w:r>
            <w:r>
              <w:rPr>
                <w:b/>
                <w:bCs/>
                <w:sz w:val="16"/>
                <w:szCs w:val="16"/>
              </w:rPr>
              <w:t>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Equit</w:t>
            </w:r>
            <w:r>
              <w:rPr>
                <w:b/>
                <w:bCs/>
                <w:sz w:val="16"/>
                <w:szCs w:val="16"/>
              </w:rPr>
              <w:t>y</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Partnershi</w:t>
            </w:r>
            <w:r>
              <w:rPr>
                <w:b/>
                <w:bCs/>
                <w:sz w:val="16"/>
                <w:szCs w:val="16"/>
              </w:rPr>
              <w:t>p</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Equit</w:t>
            </w:r>
            <w:r>
              <w:rPr>
                <w:b/>
                <w:bCs/>
                <w:sz w:val="16"/>
                <w:szCs w:val="16"/>
              </w:rPr>
              <w:t>y</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Balance as of December 31, 201</w:t>
            </w:r>
            <w:r>
              <w:rPr>
                <w:sz w:val="20"/>
                <w:szCs w:val="20"/>
              </w:rPr>
              <w:t>9</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119,09</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1,19</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1,821,81</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446,25</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1,376,74</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1,376,74</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Net incom</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54,15</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54,15</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1,18</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55,33</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Retirement of common stoc</w:t>
            </w:r>
            <w:r>
              <w:rPr>
                <w:sz w:val="20"/>
                <w:szCs w:val="20"/>
              </w:rPr>
              <w:t>k</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20</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3,57</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3,57</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3,57</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Dividends declared on common</w:t>
            </w:r>
            <w:r>
              <w:rPr>
                <w:sz w:val="20"/>
                <w:szCs w:val="20"/>
              </w:rPr>
              <w:br/>
              <w:t>    stock (</w:t>
            </w:r>
            <w:r>
              <w:rPr>
                <w:sz w:val="20"/>
                <w:szCs w:val="20"/>
              </w:rPr>
              <w:t>$</w:t>
            </w:r>
            <w:r>
              <w:rPr>
                <w:sz w:val="20"/>
                <w:szCs w:val="20"/>
              </w:rPr>
              <w:t>0.4</w:t>
            </w:r>
            <w:r>
              <w:rPr>
                <w:sz w:val="20"/>
                <w:szCs w:val="20"/>
              </w:rPr>
              <w:t>4</w:t>
            </w:r>
            <w:r>
              <w:rPr>
                <w:sz w:val="20"/>
                <w:szCs w:val="20"/>
              </w:rPr>
              <w:t> per share</w:t>
            </w: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53,41</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53,41</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53,41</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Reductions in dividends on RSU</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 xml:space="preserve">Restricted stock compensation, net </w:t>
            </w:r>
            <w:r>
              <w:rPr>
                <w:sz w:val="20"/>
                <w:szCs w:val="20"/>
              </w:rPr>
              <w:br/>
              <w:t>    of forfeiture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17,26</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17,26</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17,26</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Restricted stock grant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75</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 xml:space="preserve">Cumulative effect of adoption of </w:t>
            </w:r>
            <w:r>
              <w:rPr>
                <w:sz w:val="20"/>
                <w:szCs w:val="20"/>
              </w:rPr>
              <w:br/>
              <w:t>    new accounting standar</w:t>
            </w:r>
            <w:r>
              <w:rPr>
                <w:sz w:val="20"/>
                <w:szCs w:val="20"/>
              </w:rPr>
              <w:t>d</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1,03</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1,03</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1,03</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 xml:space="preserve">Contributions to operating </w:t>
            </w:r>
            <w:r>
              <w:rPr>
                <w:sz w:val="20"/>
                <w:szCs w:val="20"/>
              </w:rPr>
              <w:br/>
              <w:t>    partnershi</w:t>
            </w:r>
            <w:r>
              <w:rPr>
                <w:sz w:val="20"/>
                <w:szCs w:val="20"/>
              </w:rPr>
              <w:t>p</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23,27</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23,27</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 xml:space="preserve">Distributions to non-controlling </w:t>
            </w:r>
            <w:r>
              <w:rPr>
                <w:sz w:val="20"/>
                <w:szCs w:val="20"/>
              </w:rPr>
              <w:br/>
              <w:t>    interes</w:t>
            </w:r>
            <w:r>
              <w:rPr>
                <w:sz w:val="20"/>
                <w:szCs w:val="20"/>
              </w:rPr>
              <w:t>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1,18</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1,18</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Balance as of December 31, 202</w:t>
            </w:r>
            <w:r>
              <w:rPr>
                <w:sz w:val="20"/>
                <w:szCs w:val="20"/>
              </w:rPr>
              <w:t>0</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119,63</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1,19</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1,835,49</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446,51</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1,390,17</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23,27</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1,413,44</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51,89</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51,89</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51,89</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Retirement of common stoc</w:t>
            </w:r>
            <w:r>
              <w:rPr>
                <w:sz w:val="20"/>
                <w:szCs w:val="20"/>
              </w:rPr>
              <w:t>k</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22</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1,63</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1,63</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1,63</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Dividends on RSU</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27</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27</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27</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 xml:space="preserve">Restricted stock compensation, net </w:t>
            </w:r>
            <w:r>
              <w:rPr>
                <w:sz w:val="20"/>
                <w:szCs w:val="20"/>
              </w:rPr>
              <w:br/>
              <w:t>    of forfeiture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18,73</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18,73</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18,73</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Restricted stock grant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86</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 xml:space="preserve">Distributions to non-controlling </w:t>
            </w:r>
            <w:r>
              <w:rPr>
                <w:sz w:val="20"/>
                <w:szCs w:val="20"/>
              </w:rPr>
              <w:br/>
              <w:t>    interes</w:t>
            </w:r>
            <w:r>
              <w:rPr>
                <w:sz w:val="20"/>
                <w:szCs w:val="20"/>
              </w:rPr>
              <w:t>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5,89</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5,89</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 xml:space="preserve">Termination of operating </w:t>
            </w:r>
            <w:r>
              <w:rPr>
                <w:sz w:val="20"/>
                <w:szCs w:val="20"/>
              </w:rPr>
              <w:br/>
              <w:t>   partnershi</w:t>
            </w:r>
            <w:r>
              <w:rPr>
                <w:sz w:val="20"/>
                <w:szCs w:val="20"/>
              </w:rPr>
              <w:t>p</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17,37</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17,37</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17,37</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Balance as of December 31, 202</w:t>
            </w:r>
            <w:r>
              <w:rPr>
                <w:sz w:val="20"/>
                <w:szCs w:val="20"/>
              </w:rPr>
              <w:t>1</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120,28</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1,20</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1,869,95</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498,69</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1,372,46</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1,372,46</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Net incom</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122,32</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122,32</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122,32</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Retirement of common stoc</w:t>
            </w:r>
            <w:r>
              <w:rPr>
                <w:sz w:val="20"/>
                <w:szCs w:val="20"/>
              </w:rPr>
              <w:t>k</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7,14</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7</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79,81</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79,88</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79,88</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Dividends on RSU</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6</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6</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6</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 xml:space="preserve">Restricted stock compensation, net </w:t>
            </w:r>
            <w:r>
              <w:rPr>
                <w:sz w:val="20"/>
                <w:szCs w:val="20"/>
              </w:rPr>
              <w:br/>
              <w:t>    of forfeiture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17,56</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17,56</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17,56</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Restricted stock grant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1,84</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b/>
                <w:bCs/>
                <w:sz w:val="20"/>
                <w:szCs w:val="20"/>
              </w:rPr>
              <w:t>Balance as of December 31, 202</w:t>
            </w:r>
            <w:r>
              <w:rPr>
                <w:b/>
                <w:bCs/>
                <w:sz w:val="20"/>
                <w:szCs w:val="20"/>
              </w:rPr>
              <w:t>2</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114,98</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1,15</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1,807,68</w:t>
            </w:r>
            <w:r>
              <w:rPr>
                <w:b/>
                <w:bCs/>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376,43</w:t>
            </w:r>
            <w:r>
              <w:rPr>
                <w:b/>
                <w:bCs/>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1,432,40</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1,432,40</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bl>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4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jc w:val="center"/>
        <w:rPr>
          <w:sz w:val="20"/>
          <w:szCs w:val="20"/>
        </w:rPr>
      </w:pPr>
      <w:r>
        <w:rPr>
          <w:sz w:val="20"/>
          <w:szCs w:val="20"/>
        </w:rPr>
        <w:t>F</w:t>
      </w:r>
      <w:r>
        <w:rPr>
          <w:sz w:val="20"/>
          <w:szCs w:val="20"/>
        </w:rPr>
        <w:t>-</w:t>
      </w:r>
      <w:r>
        <w:rPr>
          <w:sz w:val="20"/>
          <w:szCs w:val="20"/>
        </w:rPr>
        <w:t>7</w:t>
      </w:r>
    </w:p>
    <w:p w:rsidR="00000000" w:rsidRDefault="006D723D">
      <w:pPr>
        <w:rPr>
          <w:rFonts w:eastAsia="Times New Roman"/>
        </w:rPr>
      </w:pPr>
      <w:r>
        <w:rPr>
          <w:rFonts w:eastAsia="Times New Roman"/>
        </w:rPr>
        <w:pict>
          <v:rect id="_x0000_i1135"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pStyle w:val="a3"/>
        <w:spacing w:before="0" w:beforeAutospacing="0" w:after="0" w:afterAutospacing="0"/>
        <w:jc w:val="center"/>
        <w:rPr>
          <w:sz w:val="20"/>
          <w:szCs w:val="20"/>
        </w:rPr>
      </w:pPr>
      <w:r>
        <w:rPr>
          <w:b/>
          <w:bCs/>
          <w:sz w:val="20"/>
          <w:szCs w:val="20"/>
        </w:rPr>
        <w:t>CORECIVIC, INC. AND SUBSIDIARIE</w:t>
      </w:r>
      <w:r>
        <w:rPr>
          <w:b/>
          <w:bCs/>
          <w:sz w:val="20"/>
          <w:szCs w:val="20"/>
        </w:rPr>
        <w:t>S</w:t>
      </w:r>
    </w:p>
    <w:p w:rsidR="00000000" w:rsidRDefault="006D723D">
      <w:pPr>
        <w:pStyle w:val="a3"/>
        <w:spacing w:before="120" w:beforeAutospacing="0" w:after="0" w:afterAutospacing="0"/>
        <w:jc w:val="center"/>
        <w:rPr>
          <w:sz w:val="20"/>
          <w:szCs w:val="20"/>
        </w:rPr>
      </w:pPr>
      <w:r>
        <w:rPr>
          <w:b/>
          <w:bCs/>
          <w:sz w:val="20"/>
          <w:szCs w:val="20"/>
        </w:rPr>
        <w:t>NOTES TO CONSOLIDATED</w:t>
      </w:r>
      <w:r>
        <w:rPr>
          <w:b/>
          <w:bCs/>
          <w:sz w:val="20"/>
          <w:szCs w:val="20"/>
        </w:rPr>
        <w:t xml:space="preserve"> </w:t>
      </w:r>
      <w:r>
        <w:rPr>
          <w:b/>
          <w:bCs/>
          <w:sz w:val="20"/>
          <w:szCs w:val="20"/>
        </w:rPr>
        <w:t>FINANCIAL STATEMENT</w:t>
      </w:r>
      <w:r>
        <w:rPr>
          <w:b/>
          <w:bCs/>
          <w:sz w:val="20"/>
          <w:szCs w:val="20"/>
        </w:rPr>
        <w:t>S</w:t>
      </w:r>
    </w:p>
    <w:p w:rsidR="00000000" w:rsidRDefault="006D723D">
      <w:pPr>
        <w:pStyle w:val="a3"/>
        <w:spacing w:before="120" w:beforeAutospacing="0" w:after="0" w:afterAutospacing="0"/>
        <w:jc w:val="center"/>
        <w:rPr>
          <w:sz w:val="20"/>
          <w:szCs w:val="20"/>
        </w:rPr>
      </w:pPr>
      <w:r>
        <w:rPr>
          <w:b/>
          <w:bCs/>
          <w:sz w:val="20"/>
          <w:szCs w:val="20"/>
        </w:rPr>
        <w:t>DECEMBER 31, 2022, 2021 AND 202</w:t>
      </w:r>
      <w:r>
        <w:rPr>
          <w:b/>
          <w:bCs/>
          <w:sz w:val="20"/>
          <w:szCs w:val="20"/>
        </w:rPr>
        <w:t>0</w:t>
      </w:r>
    </w:p>
    <w:p w:rsidR="00000000" w:rsidRDefault="006D723D">
      <w:pPr>
        <w:pStyle w:val="a3"/>
        <w:spacing w:before="40" w:beforeAutospacing="0" w:after="0" w:afterAutospacing="0"/>
        <w:rPr>
          <w:sz w:val="20"/>
          <w:szCs w:val="20"/>
        </w:rPr>
      </w:pPr>
      <w:r>
        <w:rPr>
          <w:sz w:val="20"/>
          <w:szCs w:val="20"/>
        </w:rPr>
        <w:t> </w:t>
      </w:r>
    </w:p>
    <w:p w:rsidR="00000000" w:rsidRDefault="006D723D">
      <w:pPr>
        <w:jc w:val="both"/>
        <w:divId w:val="677973778"/>
        <w:rPr>
          <w:rFonts w:eastAsia="Times New Roman"/>
          <w:sz w:val="20"/>
          <w:szCs w:val="20"/>
        </w:rPr>
      </w:pPr>
      <w:r>
        <w:rPr>
          <w:rFonts w:eastAsia="Times New Roman"/>
          <w:b/>
          <w:bCs/>
          <w:sz w:val="20"/>
          <w:szCs w:val="20"/>
        </w:rPr>
        <w:t>1</w:t>
      </w:r>
      <w:r>
        <w:rPr>
          <w:rFonts w:eastAsia="Times New Roman"/>
          <w:b/>
          <w:bCs/>
          <w:sz w:val="20"/>
          <w:szCs w:val="20"/>
        </w:rPr>
        <w:t>.</w:t>
      </w:r>
    </w:p>
    <w:p w:rsidR="00000000" w:rsidRDefault="006D723D">
      <w:pPr>
        <w:jc w:val="both"/>
        <w:divId w:val="1714689337"/>
        <w:rPr>
          <w:rFonts w:eastAsia="Times New Roman"/>
          <w:sz w:val="20"/>
          <w:szCs w:val="20"/>
        </w:rPr>
      </w:pPr>
      <w:r>
        <w:rPr>
          <w:rFonts w:eastAsia="Times New Roman"/>
          <w:b/>
          <w:bCs/>
          <w:sz w:val="20"/>
          <w:szCs w:val="20"/>
        </w:rPr>
        <w:t>ORGANIZATI</w:t>
      </w:r>
      <w:r>
        <w:rPr>
          <w:rFonts w:eastAsia="Times New Roman"/>
          <w:b/>
          <w:bCs/>
          <w:sz w:val="20"/>
          <w:szCs w:val="20"/>
        </w:rPr>
        <w:t>ON AND OPERATION</w:t>
      </w:r>
      <w:r>
        <w:rPr>
          <w:rFonts w:eastAsia="Times New Roman"/>
          <w:b/>
          <w:bCs/>
          <w:sz w:val="20"/>
          <w:szCs w:val="20"/>
        </w:rPr>
        <w:t>S</w:t>
      </w:r>
    </w:p>
    <w:p w:rsidR="00000000" w:rsidRDefault="006D723D">
      <w:pPr>
        <w:pStyle w:val="a3"/>
        <w:spacing w:before="120" w:beforeAutospacing="0" w:after="0" w:afterAutospacing="0"/>
        <w:ind w:left="476"/>
        <w:jc w:val="both"/>
        <w:divId w:val="1142504062"/>
        <w:rPr>
          <w:sz w:val="20"/>
          <w:szCs w:val="20"/>
        </w:rPr>
      </w:pPr>
      <w:r>
        <w:rPr>
          <w:sz w:val="20"/>
          <w:szCs w:val="20"/>
        </w:rPr>
        <w:t xml:space="preserve">CoreCivic, Inc. (together with its subsidiaries, the "Company" or "CoreCivic") is the nation's largest owner of partnership correctional, detention, and residential reentry facilities and one of the largest prison operators in the United </w:t>
      </w:r>
      <w:r>
        <w:rPr>
          <w:sz w:val="20"/>
          <w:szCs w:val="20"/>
        </w:rPr>
        <w:t>States ("U.S."). Through three segments, CoreCivic Safety, CoreCivic Community, and CoreCivic Properties, the Company provides a broad range of solutions to government partners that serve the public good through corrections and detention management, a netw</w:t>
      </w:r>
      <w:r>
        <w:rPr>
          <w:sz w:val="20"/>
          <w:szCs w:val="20"/>
        </w:rPr>
        <w:t>ork of residential reentry centers to help address America's recidivism crisis, and government real estate solutions. As of December 31, 2022, through its CoreCivic Safety segment, the Company operated</w:t>
      </w:r>
      <w:r>
        <w:rPr>
          <w:sz w:val="20"/>
          <w:szCs w:val="20"/>
        </w:rPr>
        <w:t xml:space="preserve"> </w:t>
      </w:r>
      <w:r>
        <w:rPr>
          <w:sz w:val="20"/>
          <w:szCs w:val="20"/>
        </w:rPr>
        <w:t>4</w:t>
      </w:r>
      <w:r>
        <w:rPr>
          <w:sz w:val="20"/>
          <w:szCs w:val="20"/>
        </w:rPr>
        <w:t>4</w:t>
      </w:r>
      <w:r>
        <w:rPr>
          <w:sz w:val="20"/>
          <w:szCs w:val="20"/>
        </w:rPr>
        <w:t xml:space="preserve"> correctional and detention facilities,</w:t>
      </w:r>
      <w:r>
        <w:rPr>
          <w:sz w:val="20"/>
          <w:szCs w:val="20"/>
        </w:rPr>
        <w:t xml:space="preserve"> </w:t>
      </w:r>
      <w:r>
        <w:rPr>
          <w:sz w:val="20"/>
          <w:szCs w:val="20"/>
        </w:rPr>
        <w:t>4</w:t>
      </w:r>
      <w:r>
        <w:rPr>
          <w:sz w:val="20"/>
          <w:szCs w:val="20"/>
        </w:rPr>
        <w:t>0</w:t>
      </w:r>
      <w:r>
        <w:rPr>
          <w:sz w:val="20"/>
          <w:szCs w:val="20"/>
        </w:rPr>
        <w:t xml:space="preserve"> of which </w:t>
      </w:r>
      <w:r>
        <w:rPr>
          <w:sz w:val="20"/>
          <w:szCs w:val="20"/>
        </w:rPr>
        <w:t>the Company owned, with a total design capacity of approximately</w:t>
      </w:r>
      <w:r>
        <w:rPr>
          <w:sz w:val="20"/>
          <w:szCs w:val="20"/>
        </w:rPr>
        <w:t xml:space="preserve"> </w:t>
      </w:r>
      <w:r>
        <w:rPr>
          <w:sz w:val="20"/>
          <w:szCs w:val="20"/>
        </w:rPr>
        <w:t>66,00</w:t>
      </w:r>
      <w:r>
        <w:rPr>
          <w:sz w:val="20"/>
          <w:szCs w:val="20"/>
        </w:rPr>
        <w:t>0</w:t>
      </w:r>
      <w:r>
        <w:rPr>
          <w:sz w:val="20"/>
          <w:szCs w:val="20"/>
        </w:rPr>
        <w:t xml:space="preserve"> beds. Through its CoreCivic Community segment, the Company owned and operated</w:t>
      </w:r>
      <w:r>
        <w:rPr>
          <w:sz w:val="20"/>
          <w:szCs w:val="20"/>
        </w:rPr>
        <w:t xml:space="preserve"> </w:t>
      </w:r>
      <w:r>
        <w:rPr>
          <w:sz w:val="20"/>
          <w:szCs w:val="20"/>
        </w:rPr>
        <w:t>2</w:t>
      </w:r>
      <w:r>
        <w:rPr>
          <w:sz w:val="20"/>
          <w:szCs w:val="20"/>
        </w:rPr>
        <w:t>3</w:t>
      </w:r>
      <w:r>
        <w:rPr>
          <w:sz w:val="20"/>
          <w:szCs w:val="20"/>
        </w:rPr>
        <w:t xml:space="preserve"> residential reentry centers with a total design capacity of approximately</w:t>
      </w:r>
      <w:r>
        <w:rPr>
          <w:sz w:val="20"/>
          <w:szCs w:val="20"/>
        </w:rPr>
        <w:t xml:space="preserve"> </w:t>
      </w:r>
      <w:r>
        <w:rPr>
          <w:sz w:val="20"/>
          <w:szCs w:val="20"/>
        </w:rPr>
        <w:t>5,00</w:t>
      </w:r>
      <w:r>
        <w:rPr>
          <w:sz w:val="20"/>
          <w:szCs w:val="20"/>
        </w:rPr>
        <w:t>0</w:t>
      </w:r>
      <w:r>
        <w:rPr>
          <w:sz w:val="20"/>
          <w:szCs w:val="20"/>
        </w:rPr>
        <w:t xml:space="preserve"> beds. In addition, thro</w:t>
      </w:r>
      <w:r>
        <w:rPr>
          <w:sz w:val="20"/>
          <w:szCs w:val="20"/>
        </w:rPr>
        <w:t>ugh its CoreCivic Properties segment, the Company owned</w:t>
      </w:r>
      <w:r>
        <w:rPr>
          <w:sz w:val="20"/>
          <w:szCs w:val="20"/>
        </w:rPr>
        <w:t xml:space="preserve"> </w:t>
      </w:r>
      <w:r>
        <w:rPr>
          <w:sz w:val="20"/>
          <w:szCs w:val="20"/>
        </w:rPr>
        <w:t>8</w:t>
      </w:r>
      <w:r>
        <w:rPr>
          <w:sz w:val="20"/>
          <w:szCs w:val="20"/>
        </w:rPr>
        <w:t xml:space="preserve"> properties leased to government agencies, totaling</w:t>
      </w:r>
      <w:r>
        <w:rPr>
          <w:sz w:val="20"/>
          <w:szCs w:val="20"/>
        </w:rPr>
        <w:t xml:space="preserve"> </w:t>
      </w:r>
      <w:r>
        <w:rPr>
          <w:sz w:val="20"/>
          <w:szCs w:val="20"/>
        </w:rPr>
        <w:t>1.</w:t>
      </w:r>
      <w:r>
        <w:rPr>
          <w:sz w:val="20"/>
          <w:szCs w:val="20"/>
        </w:rPr>
        <w:t>8</w:t>
      </w:r>
      <w:r>
        <w:rPr>
          <w:sz w:val="20"/>
          <w:szCs w:val="20"/>
        </w:rPr>
        <w:t xml:space="preserve"> millio</w:t>
      </w:r>
      <w:r>
        <w:rPr>
          <w:sz w:val="20"/>
          <w:szCs w:val="20"/>
        </w:rPr>
        <w:t>n</w:t>
      </w:r>
      <w:r>
        <w:rPr>
          <w:sz w:val="20"/>
          <w:szCs w:val="20"/>
        </w:rPr>
        <w:t xml:space="preserve"> square feet</w:t>
      </w:r>
      <w:r>
        <w:rPr>
          <w:sz w:val="20"/>
          <w:szCs w:val="20"/>
        </w:rPr>
        <w:t>.</w:t>
      </w:r>
    </w:p>
    <w:p w:rsidR="00000000" w:rsidRDefault="006D723D">
      <w:pPr>
        <w:pStyle w:val="a3"/>
        <w:spacing w:before="240" w:beforeAutospacing="0" w:after="0" w:afterAutospacing="0"/>
        <w:ind w:left="476"/>
        <w:jc w:val="both"/>
        <w:divId w:val="1142504062"/>
        <w:rPr>
          <w:sz w:val="20"/>
          <w:szCs w:val="20"/>
        </w:rPr>
      </w:pPr>
      <w:r>
        <w:rPr>
          <w:sz w:val="20"/>
          <w:szCs w:val="20"/>
        </w:rPr>
        <w:t>In addition to providing fundamental residential services, CoreCivic's correctional, detention, and reentry facilities off</w:t>
      </w:r>
      <w:r>
        <w:rPr>
          <w:sz w:val="20"/>
          <w:szCs w:val="20"/>
        </w:rPr>
        <w:t>er a variety of rehabilitation and educational programs, including basic education, faith-based services, life skills and employment training, and substance abuse treatment. These services are intended to help reduce recidivism and to prepare offenders for</w:t>
      </w:r>
      <w:r>
        <w:rPr>
          <w:sz w:val="20"/>
          <w:szCs w:val="20"/>
        </w:rPr>
        <w:t xml:space="preserve"> their successful reentry into society upon their release. CoreCivic also provides or makes available to offenders certain health care (including medical, dental, and mental health services), food services, and work and recreational programs</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1142504062"/>
        <w:rPr>
          <w:sz w:val="20"/>
          <w:szCs w:val="20"/>
        </w:rPr>
      </w:pPr>
      <w:r>
        <w:rPr>
          <w:sz w:val="20"/>
          <w:szCs w:val="20"/>
        </w:rPr>
        <w:t>CoreCivic op</w:t>
      </w:r>
      <w:r>
        <w:rPr>
          <w:sz w:val="20"/>
          <w:szCs w:val="20"/>
        </w:rPr>
        <w:t>erated as a real estate investment trust ("REIT") from January 1, 2013 through December 31, 2020. As a REIT, the Company provided services and conducted other business activities through taxable REIT subsidiaries ("TRSs"). A TRS is a subsidiary of a REIT t</w:t>
      </w:r>
      <w:r>
        <w:rPr>
          <w:sz w:val="20"/>
          <w:szCs w:val="20"/>
        </w:rPr>
        <w:t xml:space="preserve">hat is subject to applicable corporate income tax rates and certain qualification requirements. The Company's use of TRSs permitted CoreCivic to engage in certain business activities in which the REIT could not engage directly, so long as those activities </w:t>
      </w:r>
      <w:r>
        <w:rPr>
          <w:sz w:val="20"/>
          <w:szCs w:val="20"/>
        </w:rPr>
        <w:t>were conducted in entities that elected to be treated as TRSs under the Internal Revenue Code of 1986, as amended, and enabled CoreCivic to, among other things, provide correctional services at facilities it owns and at facilities owned by its government p</w:t>
      </w:r>
      <w:r>
        <w:rPr>
          <w:sz w:val="20"/>
          <w:szCs w:val="20"/>
        </w:rPr>
        <w:t>artners</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1142504062"/>
        <w:rPr>
          <w:sz w:val="20"/>
          <w:szCs w:val="20"/>
        </w:rPr>
      </w:pPr>
      <w:r>
        <w:rPr>
          <w:sz w:val="20"/>
          <w:szCs w:val="20"/>
        </w:rPr>
        <w:t>On August 5, 2020, the Company announced that the Board of Directors ("BOD") unanimously approved a plan to revoke the Company's REIT election and become a taxable C Corporation, effective January 1, 2021. As a result, the Company no longer opera</w:t>
      </w:r>
      <w:r>
        <w:rPr>
          <w:sz w:val="20"/>
          <w:szCs w:val="20"/>
        </w:rPr>
        <w:t>tes under REIT rules, including the requirement to distribute at least</w:t>
      </w:r>
      <w:r>
        <w:rPr>
          <w:sz w:val="20"/>
          <w:szCs w:val="20"/>
        </w:rPr>
        <w:t xml:space="preserve"> </w:t>
      </w:r>
      <w:r>
        <w:rPr>
          <w:sz w:val="20"/>
          <w:szCs w:val="20"/>
        </w:rPr>
        <w:t>9</w:t>
      </w:r>
      <w:r>
        <w:rPr>
          <w:sz w:val="20"/>
          <w:szCs w:val="20"/>
        </w:rPr>
        <w:t>0</w:t>
      </w:r>
      <w:r>
        <w:rPr>
          <w:sz w:val="20"/>
          <w:szCs w:val="20"/>
        </w:rPr>
        <w:t>% of its taxable income to its stockholders, which provides the Company with greater flexibility to use its free cash flow. Effective January 1, 2021, the Company is subject to federa</w:t>
      </w:r>
      <w:r>
        <w:rPr>
          <w:sz w:val="20"/>
          <w:szCs w:val="20"/>
        </w:rPr>
        <w:t>l and state income taxes on its taxable income at applicable tax rates and is no longer entitled to a tax deduction for dividends paid. The Company continued to operate as a REIT for the 2020 tax year, and existing REIT requirements and limitations, includ</w:t>
      </w:r>
      <w:r>
        <w:rPr>
          <w:sz w:val="20"/>
          <w:szCs w:val="20"/>
        </w:rPr>
        <w:t>ing those established by the Company’s organizational documents, remained in place until January 1, 2021. The BOD also voted unanimously to discontinue the Company's quarterly dividend and prioritize allocating the Company’s free cash flow to reduce debt</w:t>
      </w:r>
      <w:r>
        <w:rPr>
          <w:sz w:val="20"/>
          <w:szCs w:val="20"/>
        </w:rPr>
        <w:t>.</w:t>
      </w:r>
    </w:p>
    <w:p w:rsidR="00000000" w:rsidRDefault="006D723D">
      <w:pPr>
        <w:pStyle w:val="a3"/>
        <w:spacing w:before="0" w:beforeAutospacing="0" w:after="0" w:afterAutospacing="0"/>
        <w:jc w:val="center"/>
        <w:rPr>
          <w:sz w:val="20"/>
          <w:szCs w:val="20"/>
        </w:rPr>
      </w:pPr>
      <w:r>
        <w:rPr>
          <w:sz w:val="20"/>
          <w:szCs w:val="20"/>
        </w:rPr>
        <w:t>F</w:t>
      </w:r>
      <w:r>
        <w:rPr>
          <w:sz w:val="20"/>
          <w:szCs w:val="20"/>
        </w:rPr>
        <w:t>-</w:t>
      </w:r>
      <w:r>
        <w:rPr>
          <w:sz w:val="20"/>
          <w:szCs w:val="20"/>
        </w:rPr>
        <w:t>8</w:t>
      </w:r>
    </w:p>
    <w:p w:rsidR="00000000" w:rsidRDefault="006D723D">
      <w:pPr>
        <w:rPr>
          <w:rFonts w:eastAsia="Times New Roman"/>
        </w:rPr>
      </w:pPr>
      <w:r>
        <w:rPr>
          <w:rFonts w:eastAsia="Times New Roman"/>
        </w:rPr>
        <w:pict>
          <v:rect id="_x0000_i1136"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jc w:val="both"/>
        <w:divId w:val="2032759515"/>
        <w:rPr>
          <w:rFonts w:eastAsia="Times New Roman"/>
        </w:rPr>
      </w:pPr>
      <w:r>
        <w:rPr>
          <w:rFonts w:eastAsia="Times New Roman"/>
          <w:b/>
          <w:bCs/>
          <w:sz w:val="20"/>
          <w:szCs w:val="20"/>
        </w:rPr>
        <w:t>2</w:t>
      </w:r>
      <w:r>
        <w:rPr>
          <w:rFonts w:eastAsia="Times New Roman"/>
          <w:b/>
          <w:bCs/>
          <w:sz w:val="20"/>
          <w:szCs w:val="20"/>
        </w:rPr>
        <w:t>.</w:t>
      </w:r>
    </w:p>
    <w:p w:rsidR="00000000" w:rsidRDefault="006D723D">
      <w:pPr>
        <w:jc w:val="both"/>
        <w:divId w:val="118886668"/>
        <w:rPr>
          <w:rFonts w:eastAsia="Times New Roman"/>
        </w:rPr>
      </w:pPr>
      <w:r>
        <w:rPr>
          <w:rFonts w:eastAsia="Times New Roman"/>
          <w:b/>
          <w:bCs/>
          <w:sz w:val="20"/>
          <w:szCs w:val="20"/>
        </w:rPr>
        <w:t>SUMMARY OF SIGNIFICANT ACCOUNTING POLICIES</w:t>
      </w:r>
      <w:r>
        <w:rPr>
          <w:rFonts w:eastAsia="Times New Roman"/>
          <w:b/>
          <w:bCs/>
          <w:sz w:val="20"/>
          <w:szCs w:val="20"/>
        </w:rPr>
        <w:t xml:space="preserve"> </w:t>
      </w:r>
    </w:p>
    <w:p w:rsidR="00000000" w:rsidRDefault="006D723D">
      <w:pPr>
        <w:pStyle w:val="a3"/>
        <w:spacing w:before="120" w:beforeAutospacing="0" w:after="0" w:afterAutospacing="0"/>
        <w:ind w:left="476"/>
        <w:jc w:val="both"/>
        <w:divId w:val="1450317706"/>
        <w:rPr>
          <w:sz w:val="20"/>
          <w:szCs w:val="20"/>
        </w:rPr>
      </w:pPr>
      <w:r>
        <w:rPr>
          <w:b/>
          <w:bCs/>
          <w:sz w:val="20"/>
          <w:szCs w:val="20"/>
        </w:rPr>
        <w:t>Basis of Presentatio</w:t>
      </w:r>
      <w:r>
        <w:rPr>
          <w:b/>
          <w:bCs/>
          <w:sz w:val="20"/>
          <w:szCs w:val="20"/>
        </w:rPr>
        <w:t>n</w:t>
      </w:r>
    </w:p>
    <w:p w:rsidR="00000000" w:rsidRDefault="006D723D">
      <w:pPr>
        <w:pStyle w:val="a3"/>
        <w:spacing w:before="120" w:beforeAutospacing="0" w:after="0" w:afterAutospacing="0"/>
        <w:ind w:left="476"/>
        <w:jc w:val="both"/>
        <w:divId w:val="1450317706"/>
        <w:rPr>
          <w:sz w:val="20"/>
          <w:szCs w:val="20"/>
        </w:rPr>
      </w:pPr>
      <w:r>
        <w:rPr>
          <w:sz w:val="20"/>
          <w:szCs w:val="20"/>
        </w:rPr>
        <w:t>The consolidated financial statements are prepared in accordance with U.S. generally accepted accounting principles and include the accounts of CoreCivic on a consolidated basis with its wholly-owned subsidiaries. All intercompany balances and transactions</w:t>
      </w:r>
      <w:r>
        <w:rPr>
          <w:sz w:val="20"/>
          <w:szCs w:val="20"/>
        </w:rPr>
        <w:t xml:space="preserve"> have been eliminated</w:t>
      </w:r>
      <w:r>
        <w:rPr>
          <w:sz w:val="20"/>
          <w:szCs w:val="20"/>
        </w:rPr>
        <w:t>.</w:t>
      </w:r>
    </w:p>
    <w:p w:rsidR="00000000" w:rsidRDefault="006D723D">
      <w:pPr>
        <w:pStyle w:val="a3"/>
        <w:spacing w:before="240" w:beforeAutospacing="0" w:after="0" w:afterAutospacing="0"/>
        <w:ind w:left="476"/>
        <w:jc w:val="both"/>
        <w:divId w:val="289821641"/>
        <w:rPr>
          <w:sz w:val="20"/>
          <w:szCs w:val="20"/>
        </w:rPr>
      </w:pPr>
      <w:r>
        <w:rPr>
          <w:b/>
          <w:bCs/>
          <w:sz w:val="20"/>
          <w:szCs w:val="20"/>
        </w:rPr>
        <w:t>Cash and Cash Equivalent</w:t>
      </w:r>
      <w:r>
        <w:rPr>
          <w:b/>
          <w:bCs/>
          <w:sz w:val="20"/>
          <w:szCs w:val="20"/>
        </w:rPr>
        <w:t>s</w:t>
      </w:r>
    </w:p>
    <w:p w:rsidR="00000000" w:rsidRDefault="006D723D">
      <w:pPr>
        <w:pStyle w:val="a3"/>
        <w:spacing w:before="120" w:beforeAutospacing="0" w:after="0" w:afterAutospacing="0"/>
        <w:ind w:left="476"/>
        <w:jc w:val="both"/>
        <w:divId w:val="289821641"/>
        <w:rPr>
          <w:sz w:val="20"/>
          <w:szCs w:val="20"/>
        </w:rPr>
      </w:pPr>
      <w:r>
        <w:rPr>
          <w:sz w:val="20"/>
          <w:szCs w:val="20"/>
        </w:rPr>
        <w:t>CoreCivic considers all liquid deposits and investments with a maturity of three months or less at the time of purchase to be cash equivalents</w:t>
      </w:r>
      <w:r>
        <w:rPr>
          <w:sz w:val="20"/>
          <w:szCs w:val="20"/>
        </w:rPr>
        <w:t>.</w:t>
      </w:r>
    </w:p>
    <w:p w:rsidR="00000000" w:rsidRDefault="006D723D">
      <w:pPr>
        <w:pStyle w:val="a3"/>
        <w:spacing w:before="240" w:beforeAutospacing="0" w:after="0" w:afterAutospacing="0"/>
        <w:ind w:left="476"/>
        <w:jc w:val="both"/>
        <w:divId w:val="1556165847"/>
        <w:rPr>
          <w:sz w:val="20"/>
          <w:szCs w:val="20"/>
        </w:rPr>
      </w:pPr>
      <w:r>
        <w:rPr>
          <w:b/>
          <w:bCs/>
          <w:sz w:val="20"/>
          <w:szCs w:val="20"/>
        </w:rPr>
        <w:t>Restricted Cas</w:t>
      </w:r>
      <w:r>
        <w:rPr>
          <w:b/>
          <w:bCs/>
          <w:sz w:val="20"/>
          <w:szCs w:val="20"/>
        </w:rPr>
        <w:t>h</w:t>
      </w:r>
    </w:p>
    <w:p w:rsidR="00000000" w:rsidRDefault="006D723D">
      <w:pPr>
        <w:pStyle w:val="a3"/>
        <w:spacing w:before="120" w:beforeAutospacing="0" w:after="0" w:afterAutospacing="0"/>
        <w:ind w:left="476"/>
        <w:jc w:val="both"/>
        <w:divId w:val="1556165847"/>
        <w:rPr>
          <w:sz w:val="20"/>
          <w:szCs w:val="20"/>
        </w:rPr>
      </w:pPr>
      <w:r>
        <w:rPr>
          <w:sz w:val="20"/>
          <w:szCs w:val="20"/>
        </w:rPr>
        <w:t>Restricted cash at December 31, 2022 and 202</w:t>
      </w:r>
      <w:r>
        <w:rPr>
          <w:sz w:val="20"/>
          <w:szCs w:val="20"/>
        </w:rPr>
        <w:t>1</w:t>
      </w:r>
      <w:r>
        <w:rPr>
          <w:sz w:val="20"/>
          <w:szCs w:val="20"/>
        </w:rPr>
        <w:t xml:space="preserve"> included deposit accounts totaling </w:t>
      </w:r>
      <w:r>
        <w:rPr>
          <w:sz w:val="20"/>
          <w:szCs w:val="20"/>
        </w:rPr>
        <w:t>$</w:t>
      </w:r>
      <w:r>
        <w:rPr>
          <w:sz w:val="20"/>
          <w:szCs w:val="20"/>
        </w:rPr>
        <w:t>12.</w:t>
      </w:r>
      <w:r>
        <w:rPr>
          <w:sz w:val="20"/>
          <w:szCs w:val="20"/>
        </w:rPr>
        <w:t>8</w:t>
      </w:r>
      <w:r>
        <w:rPr>
          <w:sz w:val="20"/>
          <w:szCs w:val="20"/>
        </w:rPr>
        <w:t xml:space="preserve"> million and </w:t>
      </w:r>
      <w:r>
        <w:rPr>
          <w:sz w:val="20"/>
          <w:szCs w:val="20"/>
        </w:rPr>
        <w:t>$</w:t>
      </w:r>
      <w:r>
        <w:rPr>
          <w:sz w:val="20"/>
          <w:szCs w:val="20"/>
        </w:rPr>
        <w:t>11.</w:t>
      </w:r>
      <w:r>
        <w:rPr>
          <w:sz w:val="20"/>
          <w:szCs w:val="20"/>
        </w:rPr>
        <w:t>1</w:t>
      </w:r>
      <w:r>
        <w:rPr>
          <w:sz w:val="20"/>
          <w:szCs w:val="20"/>
        </w:rPr>
        <w:t xml:space="preserve"> million, respectively, to ensure the timely payment of certain operating expenses, capital expenditures and debt service associated with the Lansing Co</w:t>
      </w:r>
      <w:r>
        <w:rPr>
          <w:sz w:val="20"/>
          <w:szCs w:val="20"/>
        </w:rPr>
        <w:t>rrectional Facility, as further discussed in Note 10. The restricted cash accounts are required under the terms of the indebtedness securing such property</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930429190"/>
        <w:rPr>
          <w:sz w:val="20"/>
          <w:szCs w:val="20"/>
        </w:rPr>
      </w:pPr>
      <w:r>
        <w:rPr>
          <w:b/>
          <w:bCs/>
          <w:sz w:val="20"/>
          <w:szCs w:val="20"/>
        </w:rPr>
        <w:t>Accounts Receivable and Credit Loss Reserv</w:t>
      </w:r>
      <w:r>
        <w:rPr>
          <w:b/>
          <w:bCs/>
          <w:sz w:val="20"/>
          <w:szCs w:val="20"/>
        </w:rPr>
        <w:t>e</w:t>
      </w:r>
    </w:p>
    <w:p w:rsidR="00000000" w:rsidRDefault="006D723D">
      <w:pPr>
        <w:pStyle w:val="a3"/>
        <w:spacing w:before="120" w:beforeAutospacing="0" w:after="0" w:afterAutospacing="0"/>
        <w:ind w:left="476"/>
        <w:jc w:val="both"/>
        <w:divId w:val="930429190"/>
        <w:rPr>
          <w:sz w:val="20"/>
          <w:szCs w:val="20"/>
        </w:rPr>
      </w:pPr>
      <w:r>
        <w:rPr>
          <w:sz w:val="20"/>
          <w:szCs w:val="20"/>
        </w:rPr>
        <w:t>At December 31, 2022 and 2021, accounts receivable of</w:t>
      </w:r>
      <w:r>
        <w:rPr>
          <w:sz w:val="20"/>
          <w:szCs w:val="20"/>
        </w:rPr>
        <w:t xml:space="preserve"> </w:t>
      </w:r>
      <w:r>
        <w:rPr>
          <w:sz w:val="20"/>
          <w:szCs w:val="20"/>
        </w:rPr>
        <w:t>$</w:t>
      </w:r>
      <w:r>
        <w:rPr>
          <w:sz w:val="20"/>
          <w:szCs w:val="20"/>
        </w:rPr>
        <w:t>312.</w:t>
      </w:r>
      <w:r>
        <w:rPr>
          <w:sz w:val="20"/>
          <w:szCs w:val="20"/>
        </w:rPr>
        <w:t>4</w:t>
      </w:r>
      <w:r>
        <w:rPr>
          <w:sz w:val="20"/>
          <w:szCs w:val="20"/>
        </w:rPr>
        <w:t xml:space="preserve"> millio</w:t>
      </w:r>
      <w:r>
        <w:rPr>
          <w:sz w:val="20"/>
          <w:szCs w:val="20"/>
        </w:rPr>
        <w:t>n</w:t>
      </w:r>
      <w:r>
        <w:rPr>
          <w:sz w:val="20"/>
          <w:szCs w:val="20"/>
        </w:rPr>
        <w:t xml:space="preserve"> and</w:t>
      </w:r>
      <w:r>
        <w:rPr>
          <w:sz w:val="20"/>
          <w:szCs w:val="20"/>
        </w:rPr>
        <w:t xml:space="preserve"> </w:t>
      </w:r>
      <w:r>
        <w:rPr>
          <w:sz w:val="20"/>
          <w:szCs w:val="20"/>
        </w:rPr>
        <w:t>$</w:t>
      </w:r>
      <w:r>
        <w:rPr>
          <w:sz w:val="20"/>
          <w:szCs w:val="20"/>
        </w:rPr>
        <w:t>282.</w:t>
      </w:r>
      <w:r>
        <w:rPr>
          <w:sz w:val="20"/>
          <w:szCs w:val="20"/>
        </w:rPr>
        <w:t>8</w:t>
      </w:r>
      <w:r>
        <w:rPr>
          <w:sz w:val="20"/>
          <w:szCs w:val="20"/>
        </w:rPr>
        <w:t xml:space="preserve"> millio</w:t>
      </w:r>
      <w:r>
        <w:rPr>
          <w:sz w:val="20"/>
          <w:szCs w:val="20"/>
        </w:rPr>
        <w:t>n</w:t>
      </w:r>
      <w:r>
        <w:rPr>
          <w:sz w:val="20"/>
          <w:szCs w:val="20"/>
        </w:rPr>
        <w:t>, respectively, were net of credit loss reserve totaling</w:t>
      </w:r>
      <w:r>
        <w:rPr>
          <w:sz w:val="20"/>
          <w:szCs w:val="20"/>
        </w:rPr>
        <w:t xml:space="preserve"> </w:t>
      </w:r>
      <w:r>
        <w:rPr>
          <w:sz w:val="20"/>
          <w:szCs w:val="20"/>
        </w:rPr>
        <w:t>$</w:t>
      </w:r>
      <w:r>
        <w:rPr>
          <w:sz w:val="20"/>
          <w:szCs w:val="20"/>
        </w:rPr>
        <w:t>8.</w:t>
      </w:r>
      <w:r>
        <w:rPr>
          <w:sz w:val="20"/>
          <w:szCs w:val="20"/>
        </w:rPr>
        <w:t>0</w:t>
      </w:r>
      <w:r>
        <w:rPr>
          <w:sz w:val="20"/>
          <w:szCs w:val="20"/>
        </w:rPr>
        <w:t xml:space="preserve"> millio</w:t>
      </w:r>
      <w:r>
        <w:rPr>
          <w:sz w:val="20"/>
          <w:szCs w:val="20"/>
        </w:rPr>
        <w:t>n</w:t>
      </w:r>
      <w:r>
        <w:rPr>
          <w:sz w:val="20"/>
          <w:szCs w:val="20"/>
        </w:rPr>
        <w:t xml:space="preserve"> and</w:t>
      </w:r>
      <w:r>
        <w:rPr>
          <w:sz w:val="20"/>
          <w:szCs w:val="20"/>
        </w:rPr>
        <w:t xml:space="preserve"> </w:t>
      </w:r>
      <w:r>
        <w:rPr>
          <w:sz w:val="20"/>
          <w:szCs w:val="20"/>
        </w:rPr>
        <w:t>$</w:t>
      </w:r>
      <w:r>
        <w:rPr>
          <w:sz w:val="20"/>
          <w:szCs w:val="20"/>
        </w:rPr>
        <w:t>7.</w:t>
      </w:r>
      <w:r>
        <w:rPr>
          <w:sz w:val="20"/>
          <w:szCs w:val="20"/>
        </w:rPr>
        <w:t>9</w:t>
      </w:r>
      <w:r>
        <w:rPr>
          <w:sz w:val="20"/>
          <w:szCs w:val="20"/>
        </w:rPr>
        <w:t xml:space="preserve"> millio</w:t>
      </w:r>
      <w:r>
        <w:rPr>
          <w:sz w:val="20"/>
          <w:szCs w:val="20"/>
        </w:rPr>
        <w:t>n</w:t>
      </w:r>
      <w:r>
        <w:rPr>
          <w:sz w:val="20"/>
          <w:szCs w:val="20"/>
        </w:rPr>
        <w:t>, respectively. Accounts receivable consist primarily of amounts due from federal, state, and local government agencies for the utilizatio</w:t>
      </w:r>
      <w:r>
        <w:rPr>
          <w:sz w:val="20"/>
          <w:szCs w:val="20"/>
        </w:rPr>
        <w:t>n of CoreCivic's properties. Accounts receivable also consist of amounts due for operating and managing the Company's correctional, detention, and residential reentry facilities, as well as its electronic monitoring and case management services operations</w:t>
      </w:r>
      <w:r>
        <w:rPr>
          <w:sz w:val="20"/>
          <w:szCs w:val="20"/>
        </w:rPr>
        <w:t>.</w:t>
      </w:r>
    </w:p>
    <w:p w:rsidR="00000000" w:rsidRDefault="006D723D">
      <w:pPr>
        <w:pStyle w:val="a3"/>
        <w:spacing w:before="240" w:beforeAutospacing="0" w:after="0" w:afterAutospacing="0"/>
        <w:ind w:left="476"/>
        <w:jc w:val="both"/>
        <w:divId w:val="930429190"/>
        <w:rPr>
          <w:sz w:val="20"/>
          <w:szCs w:val="20"/>
        </w:rPr>
      </w:pPr>
      <w:r>
        <w:rPr>
          <w:sz w:val="20"/>
          <w:szCs w:val="20"/>
        </w:rPr>
        <w:t>Accounts receivable are stated at estimated net realizable value. CoreCivic recognizes reserves for credit losses to ensure receivables are not overstated due to uncollectibility. Credit loss reserves are maintained for customers using an expected loss mo</w:t>
      </w:r>
      <w:r>
        <w:rPr>
          <w:sz w:val="20"/>
          <w:szCs w:val="20"/>
        </w:rPr>
        <w:t>del based on a variety of factors, including the nature of the accounts receivable, risks of loss, length of time receivables are past due, and historical experience. If circumstances related to customers change, estimates of the recoverability of receivab</w:t>
      </w:r>
      <w:r>
        <w:rPr>
          <w:sz w:val="20"/>
          <w:szCs w:val="20"/>
        </w:rPr>
        <w:t>les would be further adjusted</w:t>
      </w:r>
      <w:r>
        <w:rPr>
          <w:sz w:val="20"/>
          <w:szCs w:val="20"/>
        </w:rPr>
        <w:t>.</w:t>
      </w:r>
    </w:p>
    <w:p w:rsidR="00000000" w:rsidRDefault="006D723D">
      <w:pPr>
        <w:pStyle w:val="a3"/>
        <w:spacing w:before="240" w:beforeAutospacing="0" w:after="0" w:afterAutospacing="0"/>
        <w:ind w:left="476"/>
        <w:jc w:val="both"/>
        <w:divId w:val="2127381973"/>
        <w:rPr>
          <w:sz w:val="20"/>
          <w:szCs w:val="20"/>
        </w:rPr>
      </w:pPr>
      <w:r>
        <w:rPr>
          <w:b/>
          <w:bCs/>
          <w:sz w:val="20"/>
          <w:szCs w:val="20"/>
        </w:rPr>
        <w:t>Property and Equipmen</w:t>
      </w:r>
      <w:r>
        <w:rPr>
          <w:b/>
          <w:bCs/>
          <w:sz w:val="20"/>
          <w:szCs w:val="20"/>
        </w:rPr>
        <w:t>t</w:t>
      </w:r>
    </w:p>
    <w:p w:rsidR="00000000" w:rsidRDefault="006D723D">
      <w:pPr>
        <w:pStyle w:val="a3"/>
        <w:spacing w:before="120" w:beforeAutospacing="0" w:after="0" w:afterAutospacing="0"/>
        <w:ind w:left="476"/>
        <w:jc w:val="both"/>
        <w:divId w:val="2127381973"/>
        <w:rPr>
          <w:sz w:val="20"/>
          <w:szCs w:val="20"/>
        </w:rPr>
      </w:pPr>
      <w:r>
        <w:rPr>
          <w:sz w:val="20"/>
          <w:szCs w:val="20"/>
        </w:rPr>
        <w:t>Property and equipment are carried at cost. Assets acquired by CoreCivic in conjunction with acquisitions are recorded at estimated fair market value at the time of purchase. Betterments, renewals and s</w:t>
      </w:r>
      <w:r>
        <w:rPr>
          <w:sz w:val="20"/>
          <w:szCs w:val="20"/>
        </w:rPr>
        <w:t>ignificant repairs that extend the life of an asset are capitalized; other repair and maintenance costs are expensed. Interest is capitalized to the asset to which it relates in connection with the construction or expansion of real estate properties. Const</w:t>
      </w:r>
      <w:r>
        <w:rPr>
          <w:sz w:val="20"/>
          <w:szCs w:val="20"/>
        </w:rPr>
        <w:t xml:space="preserve">ruction costs directly associated with the development of a property are capitalized as part of the cost of the development project. Such costs are written-off to expense whenever a project is abandoned. The cost and accumulated depreciation applicable to </w:t>
      </w:r>
      <w:r>
        <w:rPr>
          <w:sz w:val="20"/>
          <w:szCs w:val="20"/>
        </w:rPr>
        <w:t>assets retired are removed from the accounts and the gain or loss on disposition is recognized in income. Depreciation is computed over the estimated useful lives of depreciable assets using the straight-line method.</w:t>
      </w:r>
      <w:r>
        <w:rPr>
          <w:sz w:val="20"/>
          <w:szCs w:val="20"/>
        </w:rPr>
        <w:t xml:space="preserve"> </w:t>
      </w:r>
      <w:r>
        <w:rPr>
          <w:sz w:val="20"/>
          <w:szCs w:val="20"/>
        </w:rPr>
        <w:t>Useful lives for property and equipment</w:t>
      </w:r>
      <w:r>
        <w:rPr>
          <w:sz w:val="20"/>
          <w:szCs w:val="20"/>
        </w:rPr>
        <w:t xml:space="preserve"> are as follows</w:t>
      </w:r>
      <w:r>
        <w:rPr>
          <w:sz w:val="20"/>
          <w:szCs w:val="20"/>
        </w:rPr>
        <w:t>:</w:t>
      </w:r>
    </w:p>
    <w:p w:rsidR="00000000" w:rsidRDefault="006D723D">
      <w:pPr>
        <w:pStyle w:val="a3"/>
        <w:spacing w:before="0" w:beforeAutospacing="0" w:after="0" w:afterAutospacing="0"/>
        <w:jc w:val="both"/>
        <w:divId w:val="2127381973"/>
        <w:rPr>
          <w:sz w:val="20"/>
          <w:szCs w:val="20"/>
        </w:rPr>
      </w:pPr>
      <w:r>
        <w:rPr>
          <w:sz w:val="12"/>
          <w:szCs w:val="12"/>
        </w:rPr>
        <w:t> </w:t>
      </w:r>
    </w:p>
    <w:tbl>
      <w:tblPr>
        <w:tblW w:w="2000" w:type="pct"/>
        <w:tblCellSpacing w:w="15" w:type="dxa"/>
        <w:tblInd w:w="9" w:type="dxa"/>
        <w:tblCellMar>
          <w:top w:w="15" w:type="dxa"/>
          <w:left w:w="15" w:type="dxa"/>
          <w:bottom w:w="15" w:type="dxa"/>
          <w:right w:w="15" w:type="dxa"/>
        </w:tblCellMar>
        <w:tblLook w:val="04A0" w:firstRow="1" w:lastRow="0" w:firstColumn="1" w:lastColumn="0" w:noHBand="0" w:noVBand="1"/>
      </w:tblPr>
      <w:tblGrid>
        <w:gridCol w:w="2280"/>
        <w:gridCol w:w="1042"/>
      </w:tblGrid>
      <w:tr w:rsidR="00000000">
        <w:trPr>
          <w:divId w:val="912086312"/>
          <w:tblCellSpacing w:w="15" w:type="dxa"/>
        </w:trPr>
        <w:tc>
          <w:tcPr>
            <w:tcW w:w="3457" w:type="pct"/>
            <w:vAlign w:val="center"/>
            <w:hideMark/>
          </w:tcPr>
          <w:p w:rsidR="00000000" w:rsidRDefault="006D723D">
            <w:pPr>
              <w:rPr>
                <w:sz w:val="20"/>
                <w:szCs w:val="20"/>
              </w:rPr>
            </w:pPr>
          </w:p>
        </w:tc>
        <w:tc>
          <w:tcPr>
            <w:tcW w:w="1542" w:type="pct"/>
            <w:vAlign w:val="center"/>
            <w:hideMark/>
          </w:tcPr>
          <w:p w:rsidR="00000000" w:rsidRDefault="006D723D">
            <w:pPr>
              <w:rPr>
                <w:rFonts w:eastAsia="Times New Roman"/>
                <w:sz w:val="20"/>
                <w:szCs w:val="20"/>
              </w:rPr>
            </w:pPr>
          </w:p>
        </w:tc>
      </w:tr>
      <w:tr w:rsidR="00000000">
        <w:trPr>
          <w:divId w:val="912086312"/>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Land improvement</w:t>
            </w:r>
            <w:r>
              <w:rPr>
                <w:sz w:val="20"/>
                <w:szCs w:val="20"/>
              </w:rPr>
              <w:t>s</w:t>
            </w:r>
          </w:p>
        </w:tc>
        <w:tc>
          <w:tcPr>
            <w:tcW w:w="0" w:type="auto"/>
            <w:hideMark/>
          </w:tcPr>
          <w:p w:rsidR="00000000" w:rsidRDefault="006D723D">
            <w:pPr>
              <w:pStyle w:val="a3"/>
              <w:spacing w:before="0" w:beforeAutospacing="0" w:after="0" w:afterAutospacing="0"/>
              <w:jc w:val="right"/>
              <w:rPr>
                <w:sz w:val="20"/>
                <w:szCs w:val="20"/>
              </w:rPr>
            </w:pPr>
            <w:r>
              <w:rPr>
                <w:sz w:val="20"/>
                <w:szCs w:val="20"/>
              </w:rPr>
              <w:t>5</w:t>
            </w:r>
            <w:r>
              <w:rPr>
                <w:sz w:val="20"/>
                <w:szCs w:val="20"/>
              </w:rPr>
              <w:t> –</w:t>
            </w:r>
            <w:r>
              <w:rPr>
                <w:sz w:val="20"/>
                <w:szCs w:val="20"/>
              </w:rPr>
              <w:t xml:space="preserve"> </w:t>
            </w:r>
            <w:r>
              <w:rPr>
                <w:sz w:val="20"/>
                <w:szCs w:val="20"/>
              </w:rPr>
              <w:t>2</w:t>
            </w:r>
            <w:r>
              <w:rPr>
                <w:sz w:val="20"/>
                <w:szCs w:val="20"/>
              </w:rPr>
              <w:t>0</w:t>
            </w:r>
            <w:r>
              <w:rPr>
                <w:sz w:val="20"/>
                <w:szCs w:val="20"/>
              </w:rPr>
              <w:t> year</w:t>
            </w:r>
            <w:r>
              <w:rPr>
                <w:sz w:val="20"/>
                <w:szCs w:val="20"/>
              </w:rPr>
              <w:t>s</w:t>
            </w:r>
          </w:p>
        </w:tc>
      </w:tr>
      <w:tr w:rsidR="00000000">
        <w:trPr>
          <w:divId w:val="912086312"/>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Buildings and improvement</w:t>
            </w:r>
            <w:r>
              <w:rPr>
                <w:sz w:val="20"/>
                <w:szCs w:val="20"/>
              </w:rPr>
              <w:t>s</w:t>
            </w:r>
          </w:p>
        </w:tc>
        <w:tc>
          <w:tcPr>
            <w:tcW w:w="0" w:type="auto"/>
            <w:hideMark/>
          </w:tcPr>
          <w:p w:rsidR="00000000" w:rsidRDefault="006D723D">
            <w:pPr>
              <w:pStyle w:val="a3"/>
              <w:spacing w:before="0" w:beforeAutospacing="0" w:after="0" w:afterAutospacing="0"/>
              <w:jc w:val="right"/>
              <w:rPr>
                <w:sz w:val="20"/>
                <w:szCs w:val="20"/>
              </w:rPr>
            </w:pPr>
            <w:r>
              <w:rPr>
                <w:sz w:val="20"/>
                <w:szCs w:val="20"/>
              </w:rPr>
              <w:t>5</w:t>
            </w:r>
            <w:r>
              <w:rPr>
                <w:sz w:val="20"/>
                <w:szCs w:val="20"/>
              </w:rPr>
              <w:t> –</w:t>
            </w:r>
            <w:r>
              <w:rPr>
                <w:sz w:val="20"/>
                <w:szCs w:val="20"/>
              </w:rPr>
              <w:t xml:space="preserve"> </w:t>
            </w:r>
            <w:r>
              <w:rPr>
                <w:sz w:val="20"/>
                <w:szCs w:val="20"/>
              </w:rPr>
              <w:t>5</w:t>
            </w:r>
            <w:r>
              <w:rPr>
                <w:sz w:val="20"/>
                <w:szCs w:val="20"/>
              </w:rPr>
              <w:t>0</w:t>
            </w:r>
            <w:r>
              <w:rPr>
                <w:sz w:val="20"/>
                <w:szCs w:val="20"/>
              </w:rPr>
              <w:t> year</w:t>
            </w:r>
            <w:r>
              <w:rPr>
                <w:sz w:val="20"/>
                <w:szCs w:val="20"/>
              </w:rPr>
              <w:t>s</w:t>
            </w:r>
          </w:p>
        </w:tc>
      </w:tr>
      <w:tr w:rsidR="00000000">
        <w:trPr>
          <w:divId w:val="912086312"/>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Equipment and softwar</w:t>
            </w:r>
            <w:r>
              <w:rPr>
                <w:sz w:val="20"/>
                <w:szCs w:val="20"/>
              </w:rPr>
              <w:t>e</w:t>
            </w:r>
          </w:p>
        </w:tc>
        <w:tc>
          <w:tcPr>
            <w:tcW w:w="0" w:type="auto"/>
            <w:hideMark/>
          </w:tcPr>
          <w:p w:rsidR="00000000" w:rsidRDefault="006D723D">
            <w:pPr>
              <w:pStyle w:val="a3"/>
              <w:spacing w:before="0" w:beforeAutospacing="0" w:after="0" w:afterAutospacing="0"/>
              <w:jc w:val="right"/>
              <w:rPr>
                <w:sz w:val="20"/>
                <w:szCs w:val="20"/>
              </w:rPr>
            </w:pPr>
            <w:r>
              <w:rPr>
                <w:sz w:val="20"/>
                <w:szCs w:val="20"/>
              </w:rPr>
              <w:t>3</w:t>
            </w:r>
            <w:r>
              <w:rPr>
                <w:sz w:val="20"/>
                <w:szCs w:val="20"/>
              </w:rPr>
              <w:t> –</w:t>
            </w:r>
            <w:r>
              <w:rPr>
                <w:sz w:val="20"/>
                <w:szCs w:val="20"/>
              </w:rPr>
              <w:t xml:space="preserve"> </w:t>
            </w:r>
            <w:r>
              <w:rPr>
                <w:sz w:val="20"/>
                <w:szCs w:val="20"/>
              </w:rPr>
              <w:t>1</w:t>
            </w:r>
            <w:r>
              <w:rPr>
                <w:sz w:val="20"/>
                <w:szCs w:val="20"/>
              </w:rPr>
              <w:t>0</w:t>
            </w:r>
            <w:r>
              <w:rPr>
                <w:sz w:val="20"/>
                <w:szCs w:val="20"/>
              </w:rPr>
              <w:t> year</w:t>
            </w:r>
            <w:r>
              <w:rPr>
                <w:sz w:val="20"/>
                <w:szCs w:val="20"/>
              </w:rPr>
              <w:t>s</w:t>
            </w:r>
          </w:p>
        </w:tc>
      </w:tr>
      <w:tr w:rsidR="00000000">
        <w:trPr>
          <w:divId w:val="912086312"/>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Office furniture and fixture</w:t>
            </w:r>
            <w:r>
              <w:rPr>
                <w:sz w:val="20"/>
                <w:szCs w:val="20"/>
              </w:rPr>
              <w:t>s</w:t>
            </w:r>
          </w:p>
        </w:tc>
        <w:tc>
          <w:tcPr>
            <w:tcW w:w="0" w:type="auto"/>
            <w:hideMark/>
          </w:tcPr>
          <w:p w:rsidR="00000000" w:rsidRDefault="006D723D">
            <w:pPr>
              <w:pStyle w:val="a3"/>
              <w:spacing w:before="0" w:beforeAutospacing="0" w:after="0" w:afterAutospacing="0"/>
              <w:jc w:val="right"/>
              <w:rPr>
                <w:sz w:val="20"/>
                <w:szCs w:val="20"/>
              </w:rPr>
            </w:pPr>
            <w:r>
              <w:rPr>
                <w:sz w:val="20"/>
                <w:szCs w:val="20"/>
              </w:rPr>
              <w:t>5</w:t>
            </w:r>
            <w:r>
              <w:rPr>
                <w:sz w:val="20"/>
                <w:szCs w:val="20"/>
              </w:rPr>
              <w:t> year</w:t>
            </w:r>
            <w:r>
              <w:rPr>
                <w:sz w:val="20"/>
                <w:szCs w:val="20"/>
              </w:rPr>
              <w:t>s</w:t>
            </w:r>
          </w:p>
        </w:tc>
      </w:tr>
    </w:tbl>
    <w:p w:rsidR="00000000" w:rsidRDefault="006D723D">
      <w:pPr>
        <w:pStyle w:val="a3"/>
        <w:spacing w:before="0" w:beforeAutospacing="0" w:after="0" w:afterAutospacing="0"/>
        <w:jc w:val="both"/>
        <w:divId w:val="1403287885"/>
        <w:rPr>
          <w:sz w:val="20"/>
          <w:szCs w:val="20"/>
        </w:rPr>
      </w:pPr>
      <w:r>
        <w:rPr>
          <w:sz w:val="20"/>
          <w:szCs w:val="20"/>
        </w:rPr>
        <w:t> </w:t>
      </w:r>
    </w:p>
    <w:p w:rsidR="00000000" w:rsidRDefault="006D723D">
      <w:pPr>
        <w:pStyle w:val="a3"/>
        <w:spacing w:before="0" w:beforeAutospacing="0" w:after="0" w:afterAutospacing="0"/>
        <w:jc w:val="center"/>
        <w:divId w:val="1403287885"/>
        <w:rPr>
          <w:sz w:val="20"/>
          <w:szCs w:val="20"/>
        </w:rPr>
      </w:pPr>
      <w:r>
        <w:rPr>
          <w:sz w:val="20"/>
          <w:szCs w:val="20"/>
        </w:rPr>
        <w:t>F</w:t>
      </w:r>
      <w:r>
        <w:rPr>
          <w:sz w:val="20"/>
          <w:szCs w:val="20"/>
        </w:rPr>
        <w:t>-</w:t>
      </w:r>
      <w:r>
        <w:rPr>
          <w:sz w:val="20"/>
          <w:szCs w:val="20"/>
        </w:rPr>
        <w:t>9</w:t>
      </w:r>
    </w:p>
    <w:p w:rsidR="00000000" w:rsidRDefault="006D723D">
      <w:pPr>
        <w:divId w:val="1403287885"/>
        <w:rPr>
          <w:rFonts w:eastAsia="Times New Roman"/>
        </w:rPr>
      </w:pPr>
      <w:r>
        <w:rPr>
          <w:rFonts w:eastAsia="Times New Roman"/>
        </w:rPr>
        <w:pict>
          <v:rect id="_x0000_i1137" style="width:0;height:1.5pt" o:hralign="center" o:hrstd="t" o:hr="t" fillcolor="#a0a0a0" stroked="f"/>
        </w:pict>
      </w:r>
    </w:p>
    <w:p w:rsidR="00000000" w:rsidRDefault="006D723D">
      <w:pPr>
        <w:pStyle w:val="a3"/>
        <w:spacing w:before="0" w:beforeAutospacing="0" w:after="0" w:afterAutospacing="0"/>
        <w:divId w:val="1403287885"/>
        <w:rPr>
          <w:sz w:val="20"/>
          <w:szCs w:val="20"/>
        </w:rPr>
      </w:pPr>
      <w:r>
        <w:rPr>
          <w:sz w:val="20"/>
          <w:szCs w:val="20"/>
        </w:rPr>
        <w:t> </w:t>
      </w:r>
    </w:p>
    <w:p w:rsidR="00000000" w:rsidRDefault="006D723D">
      <w:pPr>
        <w:pStyle w:val="a3"/>
        <w:spacing w:before="160" w:beforeAutospacing="0" w:after="0" w:afterAutospacing="0"/>
        <w:ind w:left="476"/>
        <w:jc w:val="both"/>
        <w:divId w:val="743383278"/>
        <w:rPr>
          <w:sz w:val="20"/>
          <w:szCs w:val="20"/>
        </w:rPr>
      </w:pPr>
      <w:r>
        <w:rPr>
          <w:b/>
          <w:bCs/>
          <w:sz w:val="20"/>
          <w:szCs w:val="20"/>
        </w:rPr>
        <w:t>Other Real Estate Asset</w:t>
      </w:r>
      <w:r>
        <w:rPr>
          <w:b/>
          <w:bCs/>
          <w:sz w:val="20"/>
          <w:szCs w:val="20"/>
        </w:rPr>
        <w:t>s</w:t>
      </w:r>
    </w:p>
    <w:p w:rsidR="00000000" w:rsidRDefault="006D723D">
      <w:pPr>
        <w:pStyle w:val="a3"/>
        <w:spacing w:before="120" w:beforeAutospacing="0" w:after="0" w:afterAutospacing="0"/>
        <w:ind w:left="476"/>
        <w:jc w:val="both"/>
        <w:divId w:val="743383278"/>
        <w:rPr>
          <w:sz w:val="20"/>
          <w:szCs w:val="20"/>
        </w:rPr>
      </w:pPr>
      <w:r>
        <w:rPr>
          <w:sz w:val="20"/>
          <w:szCs w:val="20"/>
        </w:rPr>
        <w:t>Other real estate assets are accounted for in accordance with Accounting Standards Codification ("ASC") 853, "Service Concession Arrangements". ASC 853 stipulates that the facilities subject to the standard may not be accounted for as a lease, nor should t</w:t>
      </w:r>
      <w:r>
        <w:rPr>
          <w:sz w:val="20"/>
          <w:szCs w:val="20"/>
        </w:rPr>
        <w:t>he infrastructure used in the service concession arrangement be recognized as property and equipment by the operating entity. Instead, the contracts should be accounted for under the applicable revenue standards. The Company owns</w:t>
      </w:r>
      <w:r>
        <w:rPr>
          <w:sz w:val="20"/>
          <w:szCs w:val="20"/>
        </w:rPr>
        <w:t xml:space="preserve"> </w:t>
      </w:r>
      <w:r>
        <w:rPr>
          <w:sz w:val="20"/>
          <w:szCs w:val="20"/>
        </w:rPr>
        <w:t>fou</w:t>
      </w:r>
      <w:r>
        <w:rPr>
          <w:sz w:val="20"/>
          <w:szCs w:val="20"/>
        </w:rPr>
        <w:t>r</w:t>
      </w:r>
      <w:r>
        <w:rPr>
          <w:sz w:val="20"/>
          <w:szCs w:val="20"/>
        </w:rPr>
        <w:t xml:space="preserve"> facilities that are a</w:t>
      </w:r>
      <w:r>
        <w:rPr>
          <w:sz w:val="20"/>
          <w:szCs w:val="20"/>
        </w:rPr>
        <w:t>ccounted for as service concession arrangements. The facilities accounted for under ASC 853 were constructed in periods prior to 2013</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743383278"/>
        <w:rPr>
          <w:sz w:val="20"/>
          <w:szCs w:val="20"/>
        </w:rPr>
      </w:pPr>
      <w:r>
        <w:rPr>
          <w:sz w:val="20"/>
          <w:szCs w:val="20"/>
        </w:rPr>
        <w:t>On January 1, 2018, the Company adopted Accounting Standards Update ("ASU") 2014-09, "Revenue from Contracts with Custom</w:t>
      </w:r>
      <w:r>
        <w:rPr>
          <w:sz w:val="20"/>
          <w:szCs w:val="20"/>
        </w:rPr>
        <w:t>ers" and its subsequent corresponding update, ASC 606. For facilities which CoreCivic constructed for the public entity, two separate and distinct performance obligations exist. Service revenue is recognized as provided. All revenues and costs related to t</w:t>
      </w:r>
      <w:r>
        <w:rPr>
          <w:sz w:val="20"/>
          <w:szCs w:val="20"/>
        </w:rPr>
        <w:t>he construction of the facilities were recognized upon adoption of ASC 606. Revenue recognized related to the construction of the facilities for which cash has not yet been received is recorded as a contract asset and is amortized and evaluated for impairm</w:t>
      </w:r>
      <w:r>
        <w:rPr>
          <w:sz w:val="20"/>
          <w:szCs w:val="20"/>
        </w:rPr>
        <w:t>ent on an on-going basis. For facilities contributed to a service contract, the cost of the facility is accounted for as costs to fulfill the service contract and the cost is recognized over the term of the service contract. The costs related to contract a</w:t>
      </w:r>
      <w:r>
        <w:rPr>
          <w:sz w:val="20"/>
          <w:szCs w:val="20"/>
        </w:rPr>
        <w:t>ssets and costs to fulfill the service contracts are recoverable if the contract is terminated or not renewed due to the existence of residual interest options</w:t>
      </w:r>
      <w:r>
        <w:rPr>
          <w:sz w:val="20"/>
          <w:szCs w:val="20"/>
        </w:rPr>
        <w:t>.</w:t>
      </w:r>
    </w:p>
    <w:p w:rsidR="00000000" w:rsidRDefault="006D723D">
      <w:pPr>
        <w:pStyle w:val="a3"/>
        <w:spacing w:before="240" w:beforeAutospacing="0" w:after="0" w:afterAutospacing="0"/>
        <w:ind w:left="476"/>
        <w:jc w:val="both"/>
        <w:divId w:val="743383278"/>
        <w:rPr>
          <w:sz w:val="20"/>
          <w:szCs w:val="20"/>
        </w:rPr>
      </w:pPr>
      <w:r>
        <w:rPr>
          <w:sz w:val="20"/>
          <w:szCs w:val="20"/>
        </w:rPr>
        <w:t>Prior to the adoption of ASC 606, other real estate assets were stated at cost, net of accumula</w:t>
      </w:r>
      <w:r>
        <w:rPr>
          <w:sz w:val="20"/>
          <w:szCs w:val="20"/>
        </w:rPr>
        <w:t>ted amortization. These assets represent the cost of all infrastructure to be transferred to the public entity grantors should the grantors exercise their residual interest. The costs related to the facilities constructed for a governmental entity were def</w:t>
      </w:r>
      <w:r>
        <w:rPr>
          <w:sz w:val="20"/>
          <w:szCs w:val="20"/>
        </w:rPr>
        <w:t>erred as an other real estate asset, and the deferred costs were amortized in proportion to revenue recognized over the term of the related services arrangement. The costs related to the facilities that were constructed before entering into the service con</w:t>
      </w:r>
      <w:r>
        <w:rPr>
          <w:sz w:val="20"/>
          <w:szCs w:val="20"/>
        </w:rPr>
        <w:t>cession arrangement were amortized in proportion to revenue recognized over the term of the related service contract as an investment in the service contract</w:t>
      </w:r>
      <w:r>
        <w:rPr>
          <w:sz w:val="20"/>
          <w:szCs w:val="20"/>
        </w:rPr>
        <w:t>.</w:t>
      </w:r>
    </w:p>
    <w:p w:rsidR="00000000" w:rsidRDefault="006D723D">
      <w:pPr>
        <w:pStyle w:val="a3"/>
        <w:spacing w:before="360" w:beforeAutospacing="0" w:after="0" w:afterAutospacing="0"/>
        <w:ind w:left="476"/>
        <w:jc w:val="both"/>
        <w:divId w:val="1294630817"/>
        <w:rPr>
          <w:sz w:val="20"/>
          <w:szCs w:val="20"/>
        </w:rPr>
      </w:pPr>
      <w:r>
        <w:rPr>
          <w:b/>
          <w:bCs/>
          <w:sz w:val="20"/>
          <w:szCs w:val="20"/>
        </w:rPr>
        <w:t>Accounting for the Impairment of Long-Lived Assets Other Than Goodwil</w:t>
      </w:r>
      <w:r>
        <w:rPr>
          <w:b/>
          <w:bCs/>
          <w:sz w:val="20"/>
          <w:szCs w:val="20"/>
        </w:rPr>
        <w:t>l</w:t>
      </w:r>
    </w:p>
    <w:p w:rsidR="00000000" w:rsidRDefault="006D723D">
      <w:pPr>
        <w:pStyle w:val="a3"/>
        <w:spacing w:before="120" w:beforeAutospacing="0" w:after="0" w:afterAutospacing="0"/>
        <w:ind w:left="476"/>
        <w:jc w:val="both"/>
        <w:divId w:val="1294630817"/>
        <w:rPr>
          <w:sz w:val="20"/>
          <w:szCs w:val="20"/>
        </w:rPr>
      </w:pPr>
      <w:r>
        <w:rPr>
          <w:sz w:val="20"/>
          <w:szCs w:val="20"/>
        </w:rPr>
        <w:t>Long-lived assets other th</w:t>
      </w:r>
      <w:r>
        <w:rPr>
          <w:sz w:val="20"/>
          <w:szCs w:val="20"/>
        </w:rPr>
        <w:t>an goodwill are reviewed for impairment when circumstances indicate the carrying value of an asset may not be recoverable. The Company estimates undiscounted cash flows for each facility with an impairment indicator. An impairment is recognized when the es</w:t>
      </w:r>
      <w:r>
        <w:rPr>
          <w:sz w:val="20"/>
          <w:szCs w:val="20"/>
        </w:rPr>
        <w:t>timated undiscounted cash flows associated with the asset or group of assets are less than their carrying value. If impairment exists, an adjustment is made to write the asset down to its fair value, and a loss is recorded as the difference between the car</w:t>
      </w:r>
      <w:r>
        <w:rPr>
          <w:sz w:val="20"/>
          <w:szCs w:val="20"/>
        </w:rPr>
        <w:t>rying value and fair value. Fair values are determined based on quoted market values, comparable sales data, discounted cash flows or internal and external appraisals, as applicable</w:t>
      </w:r>
      <w:r>
        <w:rPr>
          <w:sz w:val="20"/>
          <w:szCs w:val="20"/>
        </w:rPr>
        <w:t>.</w:t>
      </w:r>
      <w:r>
        <w:rPr>
          <w:sz w:val="20"/>
          <w:szCs w:val="20"/>
        </w:rPr>
        <w:t xml:space="preserve"> </w:t>
      </w:r>
    </w:p>
    <w:p w:rsidR="00000000" w:rsidRDefault="006D723D">
      <w:pPr>
        <w:pStyle w:val="a3"/>
        <w:spacing w:before="360" w:beforeAutospacing="0" w:after="0" w:afterAutospacing="0"/>
        <w:ind w:left="476"/>
        <w:jc w:val="both"/>
        <w:divId w:val="1931967097"/>
        <w:rPr>
          <w:sz w:val="20"/>
          <w:szCs w:val="20"/>
        </w:rPr>
      </w:pPr>
      <w:r>
        <w:rPr>
          <w:b/>
          <w:bCs/>
          <w:sz w:val="20"/>
          <w:szCs w:val="20"/>
        </w:rPr>
        <w:t>Goodwil</w:t>
      </w:r>
      <w:r>
        <w:rPr>
          <w:b/>
          <w:bCs/>
          <w:sz w:val="20"/>
          <w:szCs w:val="20"/>
        </w:rPr>
        <w:t>l</w:t>
      </w:r>
    </w:p>
    <w:p w:rsidR="00000000" w:rsidRDefault="006D723D">
      <w:pPr>
        <w:pStyle w:val="a3"/>
        <w:spacing w:before="120" w:beforeAutospacing="0" w:after="0" w:afterAutospacing="0"/>
        <w:ind w:left="476"/>
        <w:jc w:val="both"/>
        <w:divId w:val="1931967097"/>
        <w:rPr>
          <w:sz w:val="20"/>
          <w:szCs w:val="20"/>
        </w:rPr>
      </w:pPr>
      <w:r>
        <w:rPr>
          <w:sz w:val="20"/>
          <w:szCs w:val="20"/>
        </w:rPr>
        <w:t>Goodwill represents the cost in excess of the fair value of net</w:t>
      </w:r>
      <w:r>
        <w:rPr>
          <w:sz w:val="20"/>
          <w:szCs w:val="20"/>
        </w:rPr>
        <w:t xml:space="preserve"> assets of businesses acquired. As further discussed in Note 3, goodwill is tested for impairment at least annually</w:t>
      </w:r>
      <w:r>
        <w:rPr>
          <w:sz w:val="20"/>
          <w:szCs w:val="20"/>
        </w:rPr>
        <w:t>.</w:t>
      </w:r>
    </w:p>
    <w:p w:rsidR="00000000" w:rsidRDefault="006D723D">
      <w:pPr>
        <w:pStyle w:val="a3"/>
        <w:spacing w:before="360" w:beforeAutospacing="0" w:after="0" w:afterAutospacing="0"/>
        <w:ind w:left="476"/>
        <w:jc w:val="both"/>
        <w:divId w:val="666832833"/>
        <w:rPr>
          <w:sz w:val="20"/>
          <w:szCs w:val="20"/>
        </w:rPr>
      </w:pPr>
      <w:r>
        <w:rPr>
          <w:b/>
          <w:bCs/>
          <w:sz w:val="20"/>
          <w:szCs w:val="20"/>
        </w:rPr>
        <w:t>Investment in Affiliate</w:t>
      </w:r>
      <w:r>
        <w:rPr>
          <w:b/>
          <w:bCs/>
          <w:sz w:val="20"/>
          <w:szCs w:val="20"/>
        </w:rPr>
        <w:t>s</w:t>
      </w:r>
    </w:p>
    <w:p w:rsidR="00000000" w:rsidRDefault="006D723D">
      <w:pPr>
        <w:pStyle w:val="a3"/>
        <w:spacing w:before="120" w:beforeAutospacing="0" w:after="0" w:afterAutospacing="0"/>
        <w:ind w:left="476"/>
        <w:jc w:val="both"/>
        <w:divId w:val="666832833"/>
        <w:rPr>
          <w:sz w:val="20"/>
          <w:szCs w:val="20"/>
        </w:rPr>
      </w:pPr>
      <w:r>
        <w:rPr>
          <w:sz w:val="20"/>
          <w:szCs w:val="20"/>
        </w:rPr>
        <w:t>Investments in affiliates that are equal to or less than 50%-owned over which CoreCivic can exercise significant i</w:t>
      </w:r>
      <w:r>
        <w:rPr>
          <w:sz w:val="20"/>
          <w:szCs w:val="20"/>
        </w:rPr>
        <w:t>nfluence are accounted for using the equity method of accounting</w:t>
      </w:r>
      <w:r>
        <w:rPr>
          <w:sz w:val="20"/>
          <w:szCs w:val="20"/>
        </w:rPr>
        <w:t>.</w:t>
      </w:r>
      <w:r>
        <w:rPr>
          <w:sz w:val="20"/>
          <w:szCs w:val="20"/>
        </w:rPr>
        <w:t xml:space="preserve"> Investments under the equity method are recorded at cost and subsequently adjusted for contributions, distributions, and net income attributable to the Company's ownership based on the gover</w:t>
      </w:r>
      <w:r>
        <w:rPr>
          <w:sz w:val="20"/>
          <w:szCs w:val="20"/>
        </w:rPr>
        <w:t>ning agreement</w:t>
      </w:r>
      <w:r>
        <w:rPr>
          <w:sz w:val="20"/>
          <w:szCs w:val="20"/>
        </w:rPr>
        <w:t>.</w:t>
      </w:r>
    </w:p>
    <w:p w:rsidR="00000000" w:rsidRDefault="006D723D">
      <w:pPr>
        <w:pStyle w:val="a3"/>
        <w:spacing w:before="0" w:beforeAutospacing="0" w:after="0" w:afterAutospacing="0"/>
        <w:jc w:val="center"/>
        <w:divId w:val="1403287885"/>
        <w:rPr>
          <w:sz w:val="20"/>
          <w:szCs w:val="20"/>
        </w:rPr>
      </w:pPr>
      <w:r>
        <w:rPr>
          <w:sz w:val="20"/>
          <w:szCs w:val="20"/>
        </w:rPr>
        <w:t>F</w:t>
      </w:r>
      <w:r>
        <w:rPr>
          <w:sz w:val="20"/>
          <w:szCs w:val="20"/>
        </w:rPr>
        <w:t>-</w:t>
      </w:r>
      <w:r>
        <w:rPr>
          <w:sz w:val="20"/>
          <w:szCs w:val="20"/>
        </w:rPr>
        <w:t>1</w:t>
      </w:r>
      <w:r>
        <w:rPr>
          <w:sz w:val="20"/>
          <w:szCs w:val="20"/>
        </w:rPr>
        <w:t>0</w:t>
      </w:r>
    </w:p>
    <w:p w:rsidR="00000000" w:rsidRDefault="006D723D">
      <w:pPr>
        <w:divId w:val="1403287885"/>
        <w:rPr>
          <w:rFonts w:eastAsia="Times New Roman"/>
        </w:rPr>
      </w:pPr>
      <w:r>
        <w:rPr>
          <w:rFonts w:eastAsia="Times New Roman"/>
        </w:rPr>
        <w:pict>
          <v:rect id="_x0000_i1138" style="width:0;height:1.5pt" o:hralign="center" o:hrstd="t" o:hr="t" fillcolor="#a0a0a0" stroked="f"/>
        </w:pict>
      </w:r>
    </w:p>
    <w:p w:rsidR="00000000" w:rsidRDefault="006D723D">
      <w:pPr>
        <w:pStyle w:val="a3"/>
        <w:spacing w:before="0" w:beforeAutospacing="0" w:after="0" w:afterAutospacing="0"/>
        <w:divId w:val="1403287885"/>
        <w:rPr>
          <w:sz w:val="20"/>
          <w:szCs w:val="20"/>
        </w:rPr>
      </w:pPr>
      <w:r>
        <w:rPr>
          <w:sz w:val="20"/>
          <w:szCs w:val="20"/>
        </w:rPr>
        <w:t> </w:t>
      </w:r>
    </w:p>
    <w:p w:rsidR="00000000" w:rsidRDefault="006D723D">
      <w:pPr>
        <w:pStyle w:val="a3"/>
        <w:spacing w:before="360" w:beforeAutospacing="0" w:after="0" w:afterAutospacing="0"/>
        <w:ind w:left="476"/>
        <w:jc w:val="both"/>
        <w:divId w:val="2037269298"/>
        <w:rPr>
          <w:sz w:val="20"/>
          <w:szCs w:val="20"/>
        </w:rPr>
      </w:pPr>
      <w:r>
        <w:rPr>
          <w:b/>
          <w:bCs/>
          <w:sz w:val="20"/>
          <w:szCs w:val="20"/>
        </w:rPr>
        <w:t>Debt Issuance Cost</w:t>
      </w:r>
      <w:r>
        <w:rPr>
          <w:b/>
          <w:bCs/>
          <w:sz w:val="20"/>
          <w:szCs w:val="20"/>
        </w:rPr>
        <w:t>s</w:t>
      </w:r>
    </w:p>
    <w:p w:rsidR="00000000" w:rsidRDefault="006D723D">
      <w:pPr>
        <w:pStyle w:val="a3"/>
        <w:spacing w:before="120" w:beforeAutospacing="0" w:after="0" w:afterAutospacing="0"/>
        <w:ind w:left="476"/>
        <w:jc w:val="both"/>
        <w:divId w:val="2037269298"/>
        <w:rPr>
          <w:sz w:val="20"/>
          <w:szCs w:val="20"/>
        </w:rPr>
      </w:pPr>
      <w:r>
        <w:rPr>
          <w:sz w:val="20"/>
          <w:szCs w:val="20"/>
        </w:rPr>
        <w:t>Debt issuance costs, excluding those costs incurred related to CoreCivic's revolving credit facility, are presented as a direct deduction from the face amount of the related li</w:t>
      </w:r>
      <w:r>
        <w:rPr>
          <w:sz w:val="20"/>
          <w:szCs w:val="20"/>
        </w:rPr>
        <w:t>ability on the consolidated balance sheets. Debt issuance costs related to the Company's revolving credit facility are included in other assets on the consolidated balance sheets. Generally, debt issuance costs are capitalized and amortized into interest e</w:t>
      </w:r>
      <w:r>
        <w:rPr>
          <w:sz w:val="20"/>
          <w:szCs w:val="20"/>
        </w:rPr>
        <w:t>xpense using the interest method, or on a straight-line basis over the term of the related debt, if not materially different than the interest method. However, certain debt issuance costs incurred in connection with debt refinancings are charged to expense</w:t>
      </w:r>
      <w:r>
        <w:rPr>
          <w:sz w:val="20"/>
          <w:szCs w:val="20"/>
        </w:rPr>
        <w:t xml:space="preserve"> in accordance with ASC 470-50, "Modifications and Extinguishments"</w:t>
      </w:r>
      <w:r>
        <w:rPr>
          <w:sz w:val="20"/>
          <w:szCs w:val="20"/>
        </w:rPr>
        <w:t>.</w:t>
      </w:r>
    </w:p>
    <w:p w:rsidR="00000000" w:rsidRDefault="006D723D">
      <w:pPr>
        <w:pStyle w:val="a3"/>
        <w:spacing w:before="360" w:beforeAutospacing="0" w:after="0" w:afterAutospacing="0"/>
        <w:ind w:left="476"/>
        <w:jc w:val="both"/>
        <w:divId w:val="1716733484"/>
        <w:rPr>
          <w:sz w:val="20"/>
          <w:szCs w:val="20"/>
        </w:rPr>
      </w:pPr>
      <w:r>
        <w:rPr>
          <w:b/>
          <w:bCs/>
          <w:sz w:val="20"/>
          <w:szCs w:val="20"/>
        </w:rPr>
        <w:t>Revenue Recognitio</w:t>
      </w:r>
      <w:r>
        <w:rPr>
          <w:b/>
          <w:bCs/>
          <w:sz w:val="20"/>
          <w:szCs w:val="20"/>
        </w:rPr>
        <w:t>n</w:t>
      </w:r>
    </w:p>
    <w:p w:rsidR="00000000" w:rsidRDefault="006D723D">
      <w:pPr>
        <w:pStyle w:val="a3"/>
        <w:spacing w:before="120" w:beforeAutospacing="0" w:after="0" w:afterAutospacing="0"/>
        <w:ind w:left="476"/>
        <w:jc w:val="both"/>
        <w:divId w:val="1716733484"/>
        <w:rPr>
          <w:sz w:val="20"/>
          <w:szCs w:val="20"/>
        </w:rPr>
      </w:pPr>
      <w:r>
        <w:rPr>
          <w:sz w:val="20"/>
          <w:szCs w:val="20"/>
        </w:rPr>
        <w:t>Revenue is recognized over time when control of the promised service is transferred to CoreCivic's customers, in an amount that reflects consideration CoreCivic expect</w:t>
      </w:r>
      <w:r>
        <w:rPr>
          <w:sz w:val="20"/>
          <w:szCs w:val="20"/>
        </w:rPr>
        <w:t>s to be entitled for those services which is typically in the form of a fixed rate. These services are considered to be a performance obligation and are generally satisfied in</w:t>
      </w:r>
      <w:r>
        <w:rPr>
          <w:sz w:val="20"/>
          <w:szCs w:val="20"/>
        </w:rPr>
        <w:t xml:space="preserve"> </w:t>
      </w:r>
      <w:r>
        <w:rPr>
          <w:sz w:val="20"/>
          <w:szCs w:val="20"/>
        </w:rPr>
        <w:t>one to thirty day</w:t>
      </w:r>
      <w:r>
        <w:rPr>
          <w:sz w:val="20"/>
          <w:szCs w:val="20"/>
        </w:rPr>
        <w:t>s</w:t>
      </w:r>
      <w:r>
        <w:rPr>
          <w:sz w:val="20"/>
          <w:szCs w:val="20"/>
        </w:rPr>
        <w:t xml:space="preserve"> depending on the performance obligation. CoreCivic maintains </w:t>
      </w:r>
      <w:r>
        <w:rPr>
          <w:sz w:val="20"/>
          <w:szCs w:val="20"/>
        </w:rPr>
        <w:t>contracts with certain governmental entities to manage their facilities for fixed per diem rates. CoreCivic also maintains contracts with various federal, state, and local governmental entities for the housing of offenders in company-owned facilities at fi</w:t>
      </w:r>
      <w:r>
        <w:rPr>
          <w:sz w:val="20"/>
          <w:szCs w:val="20"/>
        </w:rPr>
        <w:t>xed per diem rates or monthly fixed rates. These contracts usually contain expiration dates with renewal options ranging from annual to multi-year renewals. Most of these contracts have current terms that require renewal every</w:t>
      </w:r>
      <w:r>
        <w:rPr>
          <w:sz w:val="20"/>
          <w:szCs w:val="20"/>
        </w:rPr>
        <w:t xml:space="preserve"> </w:t>
      </w:r>
      <w:r>
        <w:rPr>
          <w:sz w:val="20"/>
          <w:szCs w:val="20"/>
        </w:rPr>
        <w:t>two</w:t>
      </w:r>
      <w:r>
        <w:rPr>
          <w:sz w:val="20"/>
          <w:szCs w:val="20"/>
        </w:rPr>
        <w:t xml:space="preserve"> </w:t>
      </w:r>
      <w:r>
        <w:rPr>
          <w:sz w:val="20"/>
          <w:szCs w:val="20"/>
        </w:rPr>
        <w:t>to</w:t>
      </w:r>
      <w:r>
        <w:rPr>
          <w:sz w:val="20"/>
          <w:szCs w:val="20"/>
        </w:rPr>
        <w:t xml:space="preserve"> </w:t>
      </w:r>
      <w:r>
        <w:rPr>
          <w:sz w:val="20"/>
          <w:szCs w:val="20"/>
        </w:rPr>
        <w:t>five year</w:t>
      </w:r>
      <w:r>
        <w:rPr>
          <w:sz w:val="20"/>
          <w:szCs w:val="20"/>
        </w:rPr>
        <w:t>s</w:t>
      </w:r>
      <w:r>
        <w:rPr>
          <w:sz w:val="20"/>
          <w:szCs w:val="20"/>
        </w:rPr>
        <w:t>. Additional</w:t>
      </w:r>
      <w:r>
        <w:rPr>
          <w:sz w:val="20"/>
          <w:szCs w:val="20"/>
        </w:rPr>
        <w:t>ly, most facility management contracts contain clauses that allow the government agency to terminate a contract without cause and are generally subject to legislative appropriations. CoreCivic generally expects to renew these contracts for periods consiste</w:t>
      </w:r>
      <w:r>
        <w:rPr>
          <w:sz w:val="20"/>
          <w:szCs w:val="20"/>
        </w:rPr>
        <w:t>nt with the remaining renewal options allowed by the contracts or other reasonable extensions; however, no assurance can be given that such renewals will be obtained. Fixed monthly rate revenue is recorded in the month earned and fixed per diem revenue, in</w:t>
      </w:r>
      <w:r>
        <w:rPr>
          <w:sz w:val="20"/>
          <w:szCs w:val="20"/>
        </w:rPr>
        <w:t>cluding revenue under those contracts that include guaranteed minimum populations, is recorded based on the per diem rate multiplied by the number of offenders housed or guaranteed during the respective period</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1716733484"/>
        <w:rPr>
          <w:sz w:val="20"/>
          <w:szCs w:val="20"/>
        </w:rPr>
      </w:pPr>
      <w:r>
        <w:rPr>
          <w:sz w:val="20"/>
          <w:szCs w:val="20"/>
        </w:rPr>
        <w:t>Certain of the government agencies also have</w:t>
      </w:r>
      <w:r>
        <w:rPr>
          <w:sz w:val="20"/>
          <w:szCs w:val="20"/>
        </w:rPr>
        <w:t xml:space="preserve"> the authority to audit and investigate CoreCivic's contracts with them. If the agency determines that CoreCivic has improperly allocated costs to a specific contract or otherwise was unable to perform certain contractual services, CoreCivic may not be rei</w:t>
      </w:r>
      <w:r>
        <w:rPr>
          <w:sz w:val="20"/>
          <w:szCs w:val="20"/>
        </w:rPr>
        <w:t>mbursed for those costs and could be required to refund the amount of any such costs that have been reimbursed, or to pay liquidated damages. In these instances, the amounts are required to be returned to the customer, are considered to be variable conside</w:t>
      </w:r>
      <w:r>
        <w:rPr>
          <w:sz w:val="20"/>
          <w:szCs w:val="20"/>
        </w:rPr>
        <w:t>ration and are classified as reductions to revenue</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1716733484"/>
        <w:rPr>
          <w:sz w:val="20"/>
          <w:szCs w:val="20"/>
        </w:rPr>
      </w:pPr>
      <w:r>
        <w:rPr>
          <w:sz w:val="20"/>
          <w:szCs w:val="20"/>
        </w:rPr>
        <w:t>Lease revenue is recognized in accordance with ASC 842, "Leases"</w:t>
      </w:r>
      <w:r>
        <w:rPr>
          <w:sz w:val="20"/>
          <w:szCs w:val="20"/>
        </w:rPr>
        <w:t>. In accordance with ASC 842, minimum lease revenue is recognized on a straight-line basis over the term of the related lease. Lease incentives are recognized as a reduction to lease revenue on a straight-line basis over the term of the related lease. Leas</w:t>
      </w:r>
      <w:r>
        <w:rPr>
          <w:sz w:val="20"/>
          <w:szCs w:val="20"/>
        </w:rPr>
        <w:t>e revenue associated with expense reimbursements from tenants is recognized in the period that the related expenses are incurred based upon the tenant lease provision</w:t>
      </w:r>
      <w:r>
        <w:rPr>
          <w:sz w:val="20"/>
          <w:szCs w:val="20"/>
        </w:rPr>
        <w:t>.</w:t>
      </w:r>
    </w:p>
    <w:p w:rsidR="00000000" w:rsidRDefault="006D723D">
      <w:pPr>
        <w:pStyle w:val="a3"/>
        <w:spacing w:before="240" w:beforeAutospacing="0" w:after="0" w:afterAutospacing="0"/>
        <w:ind w:left="476"/>
        <w:jc w:val="both"/>
        <w:divId w:val="1716733484"/>
        <w:rPr>
          <w:sz w:val="20"/>
          <w:szCs w:val="20"/>
        </w:rPr>
      </w:pPr>
      <w:r>
        <w:rPr>
          <w:sz w:val="20"/>
          <w:szCs w:val="20"/>
        </w:rPr>
        <w:t>Other revenue consists primarily of revenues associated with the Company's electronic mo</w:t>
      </w:r>
      <w:r>
        <w:rPr>
          <w:sz w:val="20"/>
          <w:szCs w:val="20"/>
        </w:rPr>
        <w:t>nitoring and case management services, as well as ancillary revenues associated with operating correctional, detention and residential reentry facilities, such as commissary, phone, and vending sales. Other revenue is also generated from prisoner transport</w:t>
      </w:r>
      <w:r>
        <w:rPr>
          <w:sz w:val="20"/>
          <w:szCs w:val="20"/>
        </w:rPr>
        <w:t>ation services for governmental agencies. Revenue is recorded at a point in time when goods are provided or over time when services are provided</w:t>
      </w:r>
      <w:r>
        <w:rPr>
          <w:sz w:val="20"/>
          <w:szCs w:val="20"/>
        </w:rPr>
        <w:t>.</w:t>
      </w:r>
    </w:p>
    <w:p w:rsidR="00000000" w:rsidRDefault="006D723D">
      <w:pPr>
        <w:pStyle w:val="a3"/>
        <w:spacing w:before="0" w:beforeAutospacing="0" w:after="0" w:afterAutospacing="0"/>
        <w:jc w:val="center"/>
        <w:divId w:val="1403287885"/>
        <w:rPr>
          <w:sz w:val="20"/>
          <w:szCs w:val="20"/>
        </w:rPr>
      </w:pPr>
      <w:r>
        <w:rPr>
          <w:sz w:val="20"/>
          <w:szCs w:val="20"/>
        </w:rPr>
        <w:t>F</w:t>
      </w:r>
      <w:r>
        <w:rPr>
          <w:sz w:val="20"/>
          <w:szCs w:val="20"/>
        </w:rPr>
        <w:t>-</w:t>
      </w:r>
      <w:r>
        <w:rPr>
          <w:sz w:val="20"/>
          <w:szCs w:val="20"/>
        </w:rPr>
        <w:t>1</w:t>
      </w:r>
      <w:r>
        <w:rPr>
          <w:sz w:val="20"/>
          <w:szCs w:val="20"/>
        </w:rPr>
        <w:t>1</w:t>
      </w:r>
    </w:p>
    <w:p w:rsidR="00000000" w:rsidRDefault="006D723D">
      <w:pPr>
        <w:divId w:val="1403287885"/>
        <w:rPr>
          <w:rFonts w:eastAsia="Times New Roman"/>
        </w:rPr>
      </w:pPr>
      <w:r>
        <w:rPr>
          <w:rFonts w:eastAsia="Times New Roman"/>
        </w:rPr>
        <w:pict>
          <v:rect id="_x0000_i1139" style="width:0;height:1.5pt" o:hralign="center" o:hrstd="t" o:hr="t" fillcolor="#a0a0a0" stroked="f"/>
        </w:pict>
      </w:r>
    </w:p>
    <w:p w:rsidR="00000000" w:rsidRDefault="006D723D">
      <w:pPr>
        <w:pStyle w:val="a3"/>
        <w:spacing w:before="0" w:beforeAutospacing="0" w:after="0" w:afterAutospacing="0"/>
        <w:divId w:val="1403287885"/>
        <w:rPr>
          <w:sz w:val="20"/>
          <w:szCs w:val="20"/>
        </w:rPr>
      </w:pPr>
      <w:r>
        <w:rPr>
          <w:sz w:val="20"/>
          <w:szCs w:val="20"/>
        </w:rPr>
        <w:t> </w:t>
      </w:r>
    </w:p>
    <w:p w:rsidR="00000000" w:rsidRDefault="006D723D">
      <w:pPr>
        <w:pStyle w:val="a3"/>
        <w:spacing w:before="360" w:beforeAutospacing="0" w:after="0" w:afterAutospacing="0"/>
        <w:ind w:left="476"/>
        <w:jc w:val="both"/>
        <w:divId w:val="270943910"/>
        <w:rPr>
          <w:sz w:val="20"/>
          <w:szCs w:val="20"/>
        </w:rPr>
      </w:pPr>
      <w:r>
        <w:rPr>
          <w:b/>
          <w:bCs/>
          <w:sz w:val="20"/>
          <w:szCs w:val="20"/>
        </w:rPr>
        <w:t>Self-Funded Insurance and Litigation Reserve</w:t>
      </w:r>
      <w:r>
        <w:rPr>
          <w:b/>
          <w:bCs/>
          <w:sz w:val="20"/>
          <w:szCs w:val="20"/>
        </w:rPr>
        <w:t>s</w:t>
      </w:r>
    </w:p>
    <w:p w:rsidR="00000000" w:rsidRDefault="006D723D">
      <w:pPr>
        <w:pStyle w:val="a3"/>
        <w:spacing w:before="120" w:beforeAutospacing="0" w:after="0" w:afterAutospacing="0"/>
        <w:ind w:left="476"/>
        <w:jc w:val="both"/>
        <w:divId w:val="270943910"/>
        <w:rPr>
          <w:sz w:val="20"/>
          <w:szCs w:val="20"/>
        </w:rPr>
      </w:pPr>
      <w:r>
        <w:rPr>
          <w:sz w:val="20"/>
          <w:szCs w:val="20"/>
        </w:rPr>
        <w:t>CoreCivic is self-in</w:t>
      </w:r>
      <w:r>
        <w:rPr>
          <w:sz w:val="20"/>
          <w:szCs w:val="20"/>
        </w:rPr>
        <w:t>sured for employee health, workers' compensation, automobile liability claims, and general liability claims. As such, CoreCivic's insurance expense is largely dependent on claims experience and CoreCivic's ability to control its claims experience. CoreCivi</w:t>
      </w:r>
      <w:r>
        <w:rPr>
          <w:sz w:val="20"/>
          <w:szCs w:val="20"/>
        </w:rPr>
        <w:t xml:space="preserve">c has consistently accrued the estimated liability for employee health insurance based on its history of claims experience and time lag between the incident date and the date the cost is paid by CoreCivic. CoreCivic has accrued the estimated liability for </w:t>
      </w:r>
      <w:r>
        <w:rPr>
          <w:sz w:val="20"/>
          <w:szCs w:val="20"/>
        </w:rPr>
        <w:t>workers' compensation claims based on an actuarially determined liability using a combination of actuarial methods used to project ultimate losses, and the Company's automobile insurance claims based on estimated development factors on claims incurred. The</w:t>
      </w:r>
      <w:r>
        <w:rPr>
          <w:sz w:val="20"/>
          <w:szCs w:val="20"/>
        </w:rPr>
        <w:t xml:space="preserve"> liability for employee health, workers' compensation, and automobile insurance includes estimates for both claims incurred and for claims incurred but not reported. CoreCivic records its best estimate of the probable costs for the resolution of certain cl</w:t>
      </w:r>
      <w:r>
        <w:rPr>
          <w:sz w:val="20"/>
          <w:szCs w:val="20"/>
        </w:rPr>
        <w:t>aims and legal proceedings in which it is involved, if estimable. In addition, the Company is subject to current and potential future claims and legal proceedings for which little or no accrual has been reflected because the Company's current assessment of</w:t>
      </w:r>
      <w:r>
        <w:rPr>
          <w:sz w:val="20"/>
          <w:szCs w:val="20"/>
        </w:rPr>
        <w:t xml:space="preserve"> the potential exposure is nominal, or because the Company cannot reasonably estimate the amount of loss or range of loss, if any, that may result. These estimates have been developed in consultation with CoreCivic's General Counsel's office and, as approp</w:t>
      </w:r>
      <w:r>
        <w:rPr>
          <w:sz w:val="20"/>
          <w:szCs w:val="20"/>
        </w:rPr>
        <w:t>riate, outside counsel handling these matters, and are based upon an analysis of potential results, assuming a combination of litigation and settlement strategies. These estimates could change in the future</w:t>
      </w:r>
      <w:r>
        <w:rPr>
          <w:sz w:val="20"/>
          <w:szCs w:val="20"/>
        </w:rPr>
        <w:t>.</w:t>
      </w:r>
    </w:p>
    <w:p w:rsidR="00000000" w:rsidRDefault="006D723D">
      <w:pPr>
        <w:pStyle w:val="a3"/>
        <w:spacing w:before="360" w:beforeAutospacing="0" w:after="0" w:afterAutospacing="0"/>
        <w:ind w:left="476"/>
        <w:jc w:val="both"/>
        <w:divId w:val="1581132492"/>
        <w:rPr>
          <w:sz w:val="20"/>
          <w:szCs w:val="20"/>
        </w:rPr>
      </w:pPr>
      <w:r>
        <w:rPr>
          <w:b/>
          <w:bCs/>
          <w:sz w:val="20"/>
          <w:szCs w:val="20"/>
        </w:rPr>
        <w:t>Income Taxe</w:t>
      </w:r>
      <w:r>
        <w:rPr>
          <w:b/>
          <w:bCs/>
          <w:sz w:val="20"/>
          <w:szCs w:val="20"/>
        </w:rPr>
        <w:t>s</w:t>
      </w:r>
    </w:p>
    <w:p w:rsidR="00000000" w:rsidRDefault="006D723D">
      <w:pPr>
        <w:pStyle w:val="a3"/>
        <w:spacing w:before="120" w:beforeAutospacing="0" w:after="0" w:afterAutospacing="0"/>
        <w:ind w:left="476"/>
        <w:jc w:val="both"/>
        <w:divId w:val="1581132492"/>
        <w:rPr>
          <w:sz w:val="20"/>
          <w:szCs w:val="20"/>
        </w:rPr>
      </w:pPr>
      <w:r>
        <w:rPr>
          <w:sz w:val="20"/>
          <w:szCs w:val="20"/>
        </w:rPr>
        <w:t>Income taxes are accounted for unde</w:t>
      </w:r>
      <w:r>
        <w:rPr>
          <w:sz w:val="20"/>
          <w:szCs w:val="20"/>
        </w:rPr>
        <w:t>r the provisions of ASC 740, "Income Taxes". ASC 740 generally requires CoreCivic to record deferred income taxes for the tax effect of differences between book and tax bases of its assets and liabilities. Deferred income taxes reflect the available net op</w:t>
      </w:r>
      <w:r>
        <w:rPr>
          <w:sz w:val="20"/>
          <w:szCs w:val="20"/>
        </w:rPr>
        <w:t xml:space="preserve">erating losses and the net tax effect of temporary differences between the carrying amounts of assets and liabilities for financial reporting purposes and the amounts used for income tax purposes using enacted tax rates in effect for the year in which the </w:t>
      </w:r>
      <w:r>
        <w:rPr>
          <w:sz w:val="20"/>
          <w:szCs w:val="20"/>
        </w:rPr>
        <w:t>differences are expected to reverse. The effect of a change in tax rates on deferred tax assets and liabilities is recognized in the statement of operations in the period that includes the enactment date. Realization of the future tax benefits related to d</w:t>
      </w:r>
      <w:r>
        <w:rPr>
          <w:sz w:val="20"/>
          <w:szCs w:val="20"/>
        </w:rPr>
        <w:t>eferred tax assets is dependent on many factors, including CoreCivic's past earnings history, expected future earnings, the character and jurisdiction of such earnings, unsettled circumstances that, if unfavorably resolved, would adversely affect utilizati</w:t>
      </w:r>
      <w:r>
        <w:rPr>
          <w:sz w:val="20"/>
          <w:szCs w:val="20"/>
        </w:rPr>
        <w:t>on of its deferred tax assets, carryback and carryforward periods, and tax strategies that could potentially enhance the likelihood of realization of a deferred tax asset</w:t>
      </w:r>
      <w:r>
        <w:rPr>
          <w:sz w:val="20"/>
          <w:szCs w:val="20"/>
        </w:rPr>
        <w:t>.</w:t>
      </w:r>
      <w:r>
        <w:rPr>
          <w:sz w:val="20"/>
          <w:szCs w:val="20"/>
        </w:rPr>
        <w:t xml:space="preserve"> </w:t>
      </w:r>
    </w:p>
    <w:p w:rsidR="00000000" w:rsidRDefault="006D723D">
      <w:pPr>
        <w:pStyle w:val="a3"/>
        <w:spacing w:before="120" w:beforeAutospacing="0" w:after="0" w:afterAutospacing="0"/>
        <w:ind w:left="476"/>
        <w:jc w:val="both"/>
        <w:divId w:val="1581132492"/>
        <w:rPr>
          <w:sz w:val="20"/>
          <w:szCs w:val="20"/>
        </w:rPr>
      </w:pPr>
      <w:r>
        <w:rPr>
          <w:sz w:val="20"/>
          <w:szCs w:val="20"/>
        </w:rPr>
        <w:t>CoreCivic elected to become a taxable C Corporation effective January 1, 2021. Core</w:t>
      </w:r>
      <w:r>
        <w:rPr>
          <w:sz w:val="20"/>
          <w:szCs w:val="20"/>
        </w:rPr>
        <w:t>Civic operated in compliance with REIT requirements for federal income tax purposes from January 1, 2013 through December 31, 2020. During the years the Company elected REIT status, the Company generally was not subject to corporate level federal income ta</w:t>
      </w:r>
      <w:r>
        <w:rPr>
          <w:sz w:val="20"/>
          <w:szCs w:val="20"/>
        </w:rPr>
        <w:t>x on taxable income it distributed to its stockholders as long as it met the organizational and operational requirements under the REIT rules. However, certain subsidiaries made an election to be treated as TRSs in conjunction with the Company's REIT elect</w:t>
      </w:r>
      <w:r>
        <w:rPr>
          <w:sz w:val="20"/>
          <w:szCs w:val="20"/>
        </w:rPr>
        <w:t>ion. The TRS elections permitted CoreCivic to engage in certain business activities in which the REIT could not engage directly, so long as these activities were conducted in entities that elected to be treated as TRSs under the Internal Revenue Code of 19</w:t>
      </w:r>
      <w:r>
        <w:rPr>
          <w:sz w:val="20"/>
          <w:szCs w:val="20"/>
        </w:rPr>
        <w:t>86, as amended. A TRS is subject to federal and state income taxes on the income from these activities and therefore, CoreCivic included a provision for taxes in its consolidated financial statements, even in periods it operated as a REIT</w:t>
      </w:r>
      <w:r>
        <w:rPr>
          <w:sz w:val="20"/>
          <w:szCs w:val="20"/>
        </w:rPr>
        <w:t>.</w:t>
      </w:r>
    </w:p>
    <w:p w:rsidR="00000000" w:rsidRDefault="006D723D">
      <w:pPr>
        <w:pStyle w:val="a3"/>
        <w:spacing w:before="240" w:beforeAutospacing="0" w:after="0" w:afterAutospacing="0"/>
        <w:ind w:left="476"/>
        <w:jc w:val="both"/>
        <w:divId w:val="1581132492"/>
        <w:rPr>
          <w:sz w:val="20"/>
          <w:szCs w:val="20"/>
        </w:rPr>
      </w:pPr>
      <w:r>
        <w:rPr>
          <w:sz w:val="20"/>
          <w:szCs w:val="20"/>
        </w:rPr>
        <w:t>CoreCivic's defe</w:t>
      </w:r>
      <w:r>
        <w:rPr>
          <w:sz w:val="20"/>
          <w:szCs w:val="20"/>
        </w:rPr>
        <w:t>rred tax assets and liabilities are classified as non-current on the consolidated balance sheets. See Note 12 for further discussion of the significant components of CoreCivic's deferred tax assets and liabilities</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1581132492"/>
        <w:rPr>
          <w:sz w:val="20"/>
          <w:szCs w:val="20"/>
        </w:rPr>
      </w:pPr>
      <w:r>
        <w:rPr>
          <w:sz w:val="20"/>
          <w:szCs w:val="20"/>
        </w:rPr>
        <w:t>Income tax contingencies are accounted f</w:t>
      </w:r>
      <w:r>
        <w:rPr>
          <w:sz w:val="20"/>
          <w:szCs w:val="20"/>
        </w:rPr>
        <w:t>or under the provisions of ASC 740. ASC 740 prescribes a recognition threshold and measurement attribute for the financial statement recognition and measurement of a tax position taken or expected to be taken in a tax return. The guidance prescribed in ASC</w:t>
      </w:r>
      <w:r>
        <w:rPr>
          <w:sz w:val="20"/>
          <w:szCs w:val="20"/>
        </w:rPr>
        <w:t xml:space="preserve"> 740 establishes a recognition threshold of more likely than not that a tax position will be sustained upon examination. The measurement attribute requires that a tax position be measured at the largest amount of benefit that is greater than</w:t>
      </w:r>
      <w:r>
        <w:rPr>
          <w:sz w:val="20"/>
          <w:szCs w:val="20"/>
        </w:rPr>
        <w:t xml:space="preserve"> </w:t>
      </w:r>
      <w:r>
        <w:rPr>
          <w:sz w:val="20"/>
          <w:szCs w:val="20"/>
        </w:rPr>
        <w:t>5</w:t>
      </w:r>
      <w:r>
        <w:rPr>
          <w:sz w:val="20"/>
          <w:szCs w:val="20"/>
        </w:rPr>
        <w:t>0</w:t>
      </w:r>
      <w:r>
        <w:rPr>
          <w:sz w:val="20"/>
          <w:szCs w:val="20"/>
        </w:rPr>
        <w:t xml:space="preserve">% likely of </w:t>
      </w:r>
      <w:r>
        <w:rPr>
          <w:sz w:val="20"/>
          <w:szCs w:val="20"/>
        </w:rPr>
        <w:t>being realized upon ultimate settlement</w:t>
      </w:r>
      <w:r>
        <w:rPr>
          <w:sz w:val="20"/>
          <w:szCs w:val="20"/>
        </w:rPr>
        <w:t>.</w:t>
      </w:r>
      <w:r>
        <w:rPr>
          <w:sz w:val="20"/>
          <w:szCs w:val="20"/>
        </w:rPr>
        <w:t xml:space="preserve"> </w:t>
      </w:r>
    </w:p>
    <w:p w:rsidR="00000000" w:rsidRDefault="006D723D">
      <w:pPr>
        <w:pStyle w:val="a3"/>
        <w:spacing w:before="0" w:beforeAutospacing="0" w:after="0" w:afterAutospacing="0"/>
        <w:jc w:val="center"/>
        <w:divId w:val="1403287885"/>
        <w:rPr>
          <w:sz w:val="20"/>
          <w:szCs w:val="20"/>
        </w:rPr>
      </w:pPr>
      <w:r>
        <w:rPr>
          <w:sz w:val="20"/>
          <w:szCs w:val="20"/>
        </w:rPr>
        <w:t>F</w:t>
      </w:r>
      <w:r>
        <w:rPr>
          <w:sz w:val="20"/>
          <w:szCs w:val="20"/>
        </w:rPr>
        <w:t>-</w:t>
      </w:r>
      <w:r>
        <w:rPr>
          <w:sz w:val="20"/>
          <w:szCs w:val="20"/>
        </w:rPr>
        <w:t>1</w:t>
      </w:r>
      <w:r>
        <w:rPr>
          <w:sz w:val="20"/>
          <w:szCs w:val="20"/>
        </w:rPr>
        <w:t>2</w:t>
      </w:r>
    </w:p>
    <w:p w:rsidR="00000000" w:rsidRDefault="006D723D">
      <w:pPr>
        <w:divId w:val="1403287885"/>
        <w:rPr>
          <w:rFonts w:eastAsia="Times New Roman"/>
        </w:rPr>
      </w:pPr>
      <w:r>
        <w:rPr>
          <w:rFonts w:eastAsia="Times New Roman"/>
        </w:rPr>
        <w:pict>
          <v:rect id="_x0000_i1140" style="width:0;height:1.5pt" o:hralign="center" o:hrstd="t" o:hr="t" fillcolor="#a0a0a0" stroked="f"/>
        </w:pict>
      </w:r>
    </w:p>
    <w:p w:rsidR="00000000" w:rsidRDefault="006D723D">
      <w:pPr>
        <w:pStyle w:val="a3"/>
        <w:spacing w:before="0" w:beforeAutospacing="0" w:after="0" w:afterAutospacing="0"/>
        <w:divId w:val="1403287885"/>
        <w:rPr>
          <w:sz w:val="20"/>
          <w:szCs w:val="20"/>
        </w:rPr>
      </w:pPr>
      <w:r>
        <w:rPr>
          <w:sz w:val="20"/>
          <w:szCs w:val="20"/>
        </w:rPr>
        <w:t> </w:t>
      </w:r>
    </w:p>
    <w:p w:rsidR="00000000" w:rsidRDefault="006D723D">
      <w:pPr>
        <w:pStyle w:val="a3"/>
        <w:spacing w:before="360" w:beforeAutospacing="0" w:after="0" w:afterAutospacing="0"/>
        <w:ind w:left="476"/>
        <w:jc w:val="both"/>
        <w:divId w:val="769661314"/>
        <w:rPr>
          <w:sz w:val="20"/>
          <w:szCs w:val="20"/>
        </w:rPr>
      </w:pPr>
      <w:r>
        <w:rPr>
          <w:b/>
          <w:bCs/>
          <w:sz w:val="20"/>
          <w:szCs w:val="20"/>
        </w:rPr>
        <w:t>Fair Value of Financial Instrument</w:t>
      </w:r>
      <w:r>
        <w:rPr>
          <w:b/>
          <w:bCs/>
          <w:sz w:val="20"/>
          <w:szCs w:val="20"/>
        </w:rPr>
        <w:t>s</w:t>
      </w:r>
    </w:p>
    <w:p w:rsidR="00000000" w:rsidRDefault="006D723D">
      <w:pPr>
        <w:pStyle w:val="a3"/>
        <w:spacing w:before="120" w:beforeAutospacing="0" w:after="0" w:afterAutospacing="0"/>
        <w:ind w:left="476"/>
        <w:jc w:val="both"/>
        <w:divId w:val="769661314"/>
        <w:rPr>
          <w:sz w:val="20"/>
          <w:szCs w:val="20"/>
        </w:rPr>
      </w:pPr>
      <w:r>
        <w:rPr>
          <w:sz w:val="20"/>
          <w:szCs w:val="20"/>
        </w:rPr>
        <w:t>To meet the reporting requirements of ASC 825, "Financial Instruments", regarding fair value of financial instruments, CoreCivic calcu</w:t>
      </w:r>
      <w:r>
        <w:rPr>
          <w:sz w:val="20"/>
          <w:szCs w:val="20"/>
        </w:rPr>
        <w:t>lates the estimated fair value of financial instruments using market interest rates, quoted market prices of similar instruments, or discounted cash flow techniques with observable Level 1 inputs for publicly traded debt and Level 2 inputs for all other fi</w:t>
      </w:r>
      <w:r>
        <w:rPr>
          <w:sz w:val="20"/>
          <w:szCs w:val="20"/>
        </w:rPr>
        <w:t>nancial instruments, as defined in ASC 820, "Fair Value Measurement".</w:t>
      </w:r>
      <w:r>
        <w:rPr>
          <w:sz w:val="20"/>
          <w:szCs w:val="20"/>
        </w:rPr>
        <w:t xml:space="preserve"> </w:t>
      </w:r>
      <w:r>
        <w:rPr>
          <w:sz w:val="20"/>
          <w:szCs w:val="20"/>
        </w:rPr>
        <w:t>At</w:t>
      </w:r>
      <w:r>
        <w:rPr>
          <w:sz w:val="20"/>
          <w:szCs w:val="20"/>
        </w:rPr>
        <w:t xml:space="preserve"> </w:t>
      </w:r>
      <w:r>
        <w:rPr>
          <w:sz w:val="20"/>
          <w:szCs w:val="20"/>
        </w:rPr>
        <w:t>December 31, 2022 and 2021, there were no material differences between the carrying amounts and the estimated fair values of CoreCivic's financial instruments, other than as follows (</w:t>
      </w:r>
      <w:r>
        <w:rPr>
          <w:sz w:val="20"/>
          <w:szCs w:val="20"/>
        </w:rPr>
        <w:t>in thousands)</w:t>
      </w:r>
      <w:r>
        <w:rPr>
          <w:sz w:val="20"/>
          <w:szCs w:val="20"/>
        </w:rPr>
        <w:t>:</w:t>
      </w:r>
    </w:p>
    <w:p w:rsidR="00000000" w:rsidRDefault="006D723D">
      <w:pPr>
        <w:pStyle w:val="a3"/>
        <w:spacing w:before="0" w:beforeAutospacing="0" w:after="0" w:afterAutospacing="0"/>
        <w:jc w:val="both"/>
        <w:divId w:val="1566796555"/>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26"/>
        <w:gridCol w:w="110"/>
        <w:gridCol w:w="160"/>
        <w:gridCol w:w="927"/>
        <w:gridCol w:w="127"/>
        <w:gridCol w:w="110"/>
        <w:gridCol w:w="160"/>
        <w:gridCol w:w="927"/>
        <w:gridCol w:w="127"/>
        <w:gridCol w:w="110"/>
        <w:gridCol w:w="160"/>
        <w:gridCol w:w="927"/>
        <w:gridCol w:w="127"/>
        <w:gridCol w:w="148"/>
        <w:gridCol w:w="160"/>
        <w:gridCol w:w="927"/>
        <w:gridCol w:w="142"/>
      </w:tblGrid>
      <w:tr w:rsidR="00000000">
        <w:trPr>
          <w:divId w:val="1566796555"/>
          <w:tblCellSpacing w:w="15" w:type="dxa"/>
        </w:trPr>
        <w:tc>
          <w:tcPr>
            <w:tcW w:w="1574" w:type="pct"/>
            <w:vAlign w:val="center"/>
            <w:hideMark/>
          </w:tcPr>
          <w:p w:rsidR="00000000" w:rsidRDefault="006D723D">
            <w:pPr>
              <w:rPr>
                <w:sz w:val="20"/>
                <w:szCs w:val="20"/>
              </w:rPr>
            </w:pPr>
          </w:p>
        </w:tc>
        <w:tc>
          <w:tcPr>
            <w:tcW w:w="7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1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16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1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16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1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16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1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divId w:val="1566796555"/>
          <w:trHeight w:val="160"/>
          <w:tblCellSpacing w:w="15" w:type="dxa"/>
        </w:trPr>
        <w:tc>
          <w:tcPr>
            <w:tcW w:w="0" w:type="auto"/>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6D723D">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1566796555"/>
          <w:trHeight w:val="160"/>
          <w:tblCellSpacing w:w="15" w:type="dxa"/>
        </w:trPr>
        <w:tc>
          <w:tcPr>
            <w:tcW w:w="0" w:type="auto"/>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6D723D">
            <w:pPr>
              <w:pStyle w:val="a3"/>
              <w:spacing w:before="0" w:beforeAutospacing="0" w:after="0" w:afterAutospacing="0"/>
              <w:jc w:val="center"/>
              <w:rPr>
                <w:sz w:val="16"/>
                <w:szCs w:val="16"/>
              </w:rPr>
            </w:pPr>
            <w:r>
              <w:rPr>
                <w:sz w:val="16"/>
                <w:szCs w:val="16"/>
              </w:rPr>
              <w:t>202</w:t>
            </w:r>
            <w:r>
              <w:rPr>
                <w:sz w:val="16"/>
                <w:szCs w:val="16"/>
              </w:rPr>
              <w:t>1</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1566796555"/>
          <w:trHeight w:val="160"/>
          <w:tblCellSpacing w:w="15" w:type="dxa"/>
        </w:trPr>
        <w:tc>
          <w:tcPr>
            <w:tcW w:w="0" w:type="auto"/>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Carrying</w:t>
            </w:r>
            <w:r>
              <w:rPr>
                <w:b/>
                <w:bCs/>
                <w:sz w:val="16"/>
                <w:szCs w:val="16"/>
              </w:rPr>
              <w:br/>
              <w:t>Amoun</w:t>
            </w:r>
            <w:r>
              <w:rPr>
                <w:b/>
                <w:bCs/>
                <w:sz w:val="16"/>
                <w:szCs w:val="16"/>
              </w:rPr>
              <w:t>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sz w:val="16"/>
                <w:szCs w:val="16"/>
              </w:rPr>
              <w:t>Carrying</w:t>
            </w:r>
            <w:r>
              <w:rPr>
                <w:sz w:val="16"/>
                <w:szCs w:val="16"/>
              </w:rPr>
              <w:br/>
              <w:t>Amoun</w:t>
            </w:r>
            <w:r>
              <w:rPr>
                <w:sz w:val="16"/>
                <w:szCs w:val="16"/>
              </w:rPr>
              <w:t>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sz w:val="16"/>
                <w:szCs w:val="16"/>
              </w:rPr>
              <w:t>Fair Valu</w:t>
            </w:r>
            <w:r>
              <w:rPr>
                <w:sz w:val="16"/>
                <w:szCs w:val="16"/>
              </w:rPr>
              <w:t>e</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1566796555"/>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Note receivable from AP</w:t>
            </w:r>
            <w:r>
              <w:rPr>
                <w:sz w:val="20"/>
                <w:szCs w:val="20"/>
              </w:rPr>
              <w:t>M</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2,74</w:t>
            </w:r>
            <w:r>
              <w:rPr>
                <w:b/>
                <w:bCs/>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3,07</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3,06</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3,49</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66796555"/>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Deb</w:t>
            </w:r>
            <w:r>
              <w:rPr>
                <w:sz w:val="20"/>
                <w:szCs w:val="20"/>
              </w:rPr>
              <w:t>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1,264,52</w:t>
            </w:r>
            <w:r>
              <w:rPr>
                <w:b/>
                <w:bCs/>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1,247,20</w:t>
            </w:r>
            <w:r>
              <w:rPr>
                <w:b/>
                <w:bCs/>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1,551,93</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1,560,34</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bl>
    <w:p w:rsidR="00000000" w:rsidRDefault="006D723D">
      <w:pPr>
        <w:pStyle w:val="a3"/>
        <w:spacing w:before="0" w:beforeAutospacing="0" w:after="0" w:afterAutospacing="0"/>
        <w:jc w:val="both"/>
        <w:divId w:val="769661314"/>
        <w:rPr>
          <w:sz w:val="20"/>
          <w:szCs w:val="20"/>
        </w:rPr>
      </w:pPr>
      <w:r>
        <w:rPr>
          <w:sz w:val="20"/>
          <w:szCs w:val="20"/>
        </w:rPr>
        <w:t> </w:t>
      </w:r>
    </w:p>
    <w:p w:rsidR="00000000" w:rsidRDefault="006D723D">
      <w:pPr>
        <w:pStyle w:val="a3"/>
        <w:spacing w:before="160" w:beforeAutospacing="0" w:after="0" w:afterAutospacing="0"/>
        <w:ind w:left="476"/>
        <w:jc w:val="both"/>
        <w:divId w:val="604770888"/>
        <w:rPr>
          <w:sz w:val="20"/>
          <w:szCs w:val="20"/>
        </w:rPr>
      </w:pPr>
      <w:r>
        <w:rPr>
          <w:b/>
          <w:bCs/>
          <w:sz w:val="20"/>
          <w:szCs w:val="20"/>
        </w:rPr>
        <w:t>Use of Estimates in Preparation of Financial Statement</w:t>
      </w:r>
      <w:r>
        <w:rPr>
          <w:b/>
          <w:bCs/>
          <w:sz w:val="20"/>
          <w:szCs w:val="20"/>
        </w:rPr>
        <w:t>s</w:t>
      </w:r>
    </w:p>
    <w:p w:rsidR="00000000" w:rsidRDefault="006D723D">
      <w:pPr>
        <w:pStyle w:val="a3"/>
        <w:spacing w:before="120" w:beforeAutospacing="0" w:after="0" w:afterAutospacing="0"/>
        <w:ind w:left="476"/>
        <w:jc w:val="both"/>
        <w:divId w:val="604770888"/>
        <w:rPr>
          <w:sz w:val="20"/>
          <w:szCs w:val="20"/>
        </w:rPr>
      </w:pPr>
      <w:r>
        <w:rPr>
          <w:sz w:val="20"/>
          <w:szCs w:val="20"/>
        </w:rPr>
        <w:t>The preparation of financial statements in conformity with U.S. generally accepted accounting principles requires management to make estimates and assumptions that affect the reported amounts of assets and liabilities, and disclosure of contingent assets a</w:t>
      </w:r>
      <w:r>
        <w:rPr>
          <w:sz w:val="20"/>
          <w:szCs w:val="20"/>
        </w:rPr>
        <w:t>nd liabilities, at the date of the financial statements and the reported amounts of revenue and expenses during the reporting period. Actual results could differ from those estimates and those differences could be material</w:t>
      </w:r>
      <w:r>
        <w:rPr>
          <w:sz w:val="20"/>
          <w:szCs w:val="20"/>
        </w:rPr>
        <w:t>.</w:t>
      </w:r>
    </w:p>
    <w:p w:rsidR="00000000" w:rsidRDefault="006D723D">
      <w:pPr>
        <w:pStyle w:val="a3"/>
        <w:spacing w:before="360" w:beforeAutospacing="0" w:after="0" w:afterAutospacing="0"/>
        <w:ind w:left="476"/>
        <w:jc w:val="both"/>
        <w:divId w:val="1882552899"/>
        <w:rPr>
          <w:sz w:val="20"/>
          <w:szCs w:val="20"/>
        </w:rPr>
      </w:pPr>
      <w:r>
        <w:rPr>
          <w:b/>
          <w:bCs/>
          <w:sz w:val="20"/>
          <w:szCs w:val="20"/>
        </w:rPr>
        <w:t>Concentration of Credit Risk</w:t>
      </w:r>
      <w:r>
        <w:rPr>
          <w:b/>
          <w:bCs/>
          <w:sz w:val="20"/>
          <w:szCs w:val="20"/>
        </w:rPr>
        <w:t>s</w:t>
      </w:r>
    </w:p>
    <w:p w:rsidR="00000000" w:rsidRDefault="006D723D">
      <w:pPr>
        <w:pStyle w:val="a3"/>
        <w:spacing w:before="120" w:beforeAutospacing="0" w:after="0" w:afterAutospacing="0"/>
        <w:ind w:left="476"/>
        <w:jc w:val="both"/>
        <w:divId w:val="1882552899"/>
        <w:rPr>
          <w:sz w:val="20"/>
          <w:szCs w:val="20"/>
        </w:rPr>
      </w:pPr>
      <w:r>
        <w:rPr>
          <w:sz w:val="20"/>
          <w:szCs w:val="20"/>
        </w:rPr>
        <w:t>Co</w:t>
      </w:r>
      <w:r>
        <w:rPr>
          <w:sz w:val="20"/>
          <w:szCs w:val="20"/>
        </w:rPr>
        <w:t>reCivic's credit risks relate primarily to cash and cash equivalents, restricted cash, and accounts receivable. Cash and cash equivalents and restricted cash are primarily held in bank accounts and overnight investments. CoreCivic maintains deposits of cas</w:t>
      </w:r>
      <w:r>
        <w:rPr>
          <w:sz w:val="20"/>
          <w:szCs w:val="20"/>
        </w:rPr>
        <w:t>h in excess of federally insured limits with certain financial institutions. CoreCivic's accounts receivable represents amounts due primarily from governmental agencies. CoreCivic's financial instruments are subject to the possibility of loss in carrying v</w:t>
      </w:r>
      <w:r>
        <w:rPr>
          <w:sz w:val="20"/>
          <w:szCs w:val="20"/>
        </w:rPr>
        <w:t>alue as a result of either the failure of other parties to perform according to their contractual obligations or changes in market prices that make the instruments less valuable</w:t>
      </w:r>
      <w:r>
        <w:rPr>
          <w:sz w:val="20"/>
          <w:szCs w:val="20"/>
        </w:rPr>
        <w:t>.</w:t>
      </w:r>
    </w:p>
    <w:p w:rsidR="00000000" w:rsidRDefault="006D723D">
      <w:pPr>
        <w:pStyle w:val="a3"/>
        <w:spacing w:before="240" w:beforeAutospacing="0" w:after="0" w:afterAutospacing="0"/>
        <w:ind w:left="476"/>
        <w:jc w:val="both"/>
        <w:divId w:val="1882552899"/>
        <w:rPr>
          <w:sz w:val="20"/>
          <w:szCs w:val="20"/>
        </w:rPr>
      </w:pPr>
      <w:r>
        <w:rPr>
          <w:sz w:val="20"/>
          <w:szCs w:val="20"/>
        </w:rPr>
        <w:t>CoreCivic derives its revenues primarily from amounts earned under federal, s</w:t>
      </w:r>
      <w:r>
        <w:rPr>
          <w:sz w:val="20"/>
          <w:szCs w:val="20"/>
        </w:rPr>
        <w:t>tate, and local government contracts. For each of the years ended December 31, 2022, 2021, and 2020, federal correctional and detention authorities represented</w:t>
      </w:r>
      <w:r>
        <w:rPr>
          <w:sz w:val="20"/>
          <w:szCs w:val="20"/>
        </w:rPr>
        <w:t xml:space="preserve"> </w:t>
      </w:r>
      <w:r>
        <w:rPr>
          <w:sz w:val="20"/>
          <w:szCs w:val="20"/>
        </w:rPr>
        <w:t>5</w:t>
      </w:r>
      <w:r>
        <w:rPr>
          <w:sz w:val="20"/>
          <w:szCs w:val="20"/>
        </w:rPr>
        <w:t>4</w:t>
      </w:r>
      <w:r>
        <w:rPr>
          <w:sz w:val="20"/>
          <w:szCs w:val="20"/>
        </w:rPr>
        <w:t>%,</w:t>
      </w:r>
      <w:r>
        <w:rPr>
          <w:sz w:val="20"/>
          <w:szCs w:val="20"/>
        </w:rPr>
        <w:t xml:space="preserve"> </w:t>
      </w:r>
      <w:r>
        <w:rPr>
          <w:sz w:val="20"/>
          <w:szCs w:val="20"/>
        </w:rPr>
        <w:t>5</w:t>
      </w:r>
      <w:r>
        <w:rPr>
          <w:sz w:val="20"/>
          <w:szCs w:val="20"/>
        </w:rPr>
        <w:t>6</w:t>
      </w:r>
      <w:r>
        <w:rPr>
          <w:sz w:val="20"/>
          <w:szCs w:val="20"/>
        </w:rPr>
        <w:t>%, and</w:t>
      </w:r>
      <w:r>
        <w:rPr>
          <w:sz w:val="20"/>
          <w:szCs w:val="20"/>
        </w:rPr>
        <w:t xml:space="preserve"> </w:t>
      </w:r>
      <w:r>
        <w:rPr>
          <w:sz w:val="20"/>
          <w:szCs w:val="20"/>
        </w:rPr>
        <w:t>5</w:t>
      </w:r>
      <w:r>
        <w:rPr>
          <w:sz w:val="20"/>
          <w:szCs w:val="20"/>
        </w:rPr>
        <w:t>2</w:t>
      </w:r>
      <w:r>
        <w:rPr>
          <w:sz w:val="20"/>
          <w:szCs w:val="20"/>
        </w:rPr>
        <w:t>%, respectively, of CoreCivic's total revenue. Federal correctional and detentio</w:t>
      </w:r>
      <w:r>
        <w:rPr>
          <w:sz w:val="20"/>
          <w:szCs w:val="20"/>
        </w:rPr>
        <w:t>n authorities consist primarily of U.S. Immigration and Customs Enforcement ("ICE"), the United States Marshals Service ("USMS"), and the Federal Bureau of Prisons ("BOP"). ICE accounted for</w:t>
      </w:r>
      <w:r>
        <w:rPr>
          <w:sz w:val="20"/>
          <w:szCs w:val="20"/>
        </w:rPr>
        <w:t xml:space="preserve"> </w:t>
      </w:r>
      <w:r>
        <w:rPr>
          <w:sz w:val="20"/>
          <w:szCs w:val="20"/>
        </w:rPr>
        <w:t>2</w:t>
      </w:r>
      <w:r>
        <w:rPr>
          <w:sz w:val="20"/>
          <w:szCs w:val="20"/>
        </w:rPr>
        <w:t>9</w:t>
      </w:r>
      <w:r>
        <w:rPr>
          <w:sz w:val="20"/>
          <w:szCs w:val="20"/>
        </w:rPr>
        <w:t>%,</w:t>
      </w:r>
      <w:r>
        <w:rPr>
          <w:sz w:val="20"/>
          <w:szCs w:val="20"/>
        </w:rPr>
        <w:t xml:space="preserve"> </w:t>
      </w:r>
      <w:r>
        <w:rPr>
          <w:sz w:val="20"/>
          <w:szCs w:val="20"/>
        </w:rPr>
        <w:t>3</w:t>
      </w:r>
      <w:r>
        <w:rPr>
          <w:sz w:val="20"/>
          <w:szCs w:val="20"/>
        </w:rPr>
        <w:t>0</w:t>
      </w:r>
      <w:r>
        <w:rPr>
          <w:sz w:val="20"/>
          <w:szCs w:val="20"/>
        </w:rPr>
        <w:t>%, and</w:t>
      </w:r>
      <w:r>
        <w:rPr>
          <w:sz w:val="20"/>
          <w:szCs w:val="20"/>
        </w:rPr>
        <w:t xml:space="preserve"> </w:t>
      </w:r>
      <w:r>
        <w:rPr>
          <w:sz w:val="20"/>
          <w:szCs w:val="20"/>
        </w:rPr>
        <w:t>2</w:t>
      </w:r>
      <w:r>
        <w:rPr>
          <w:sz w:val="20"/>
          <w:szCs w:val="20"/>
        </w:rPr>
        <w:t>8</w:t>
      </w:r>
      <w:r>
        <w:rPr>
          <w:sz w:val="20"/>
          <w:szCs w:val="20"/>
        </w:rPr>
        <w:t>% of total revenue for 2022, 2021, and 2020, resp</w:t>
      </w:r>
      <w:r>
        <w:rPr>
          <w:sz w:val="20"/>
          <w:szCs w:val="20"/>
        </w:rPr>
        <w:t>ectively. The USMS accounted for</w:t>
      </w:r>
      <w:r>
        <w:rPr>
          <w:sz w:val="20"/>
          <w:szCs w:val="20"/>
        </w:rPr>
        <w:t xml:space="preserve"> </w:t>
      </w:r>
      <w:r>
        <w:rPr>
          <w:sz w:val="20"/>
          <w:szCs w:val="20"/>
        </w:rPr>
        <w:t>2</w:t>
      </w:r>
      <w:r>
        <w:rPr>
          <w:sz w:val="20"/>
          <w:szCs w:val="20"/>
        </w:rPr>
        <w:t>2</w:t>
      </w:r>
      <w:r>
        <w:rPr>
          <w:sz w:val="20"/>
          <w:szCs w:val="20"/>
        </w:rPr>
        <w:t>%,</w:t>
      </w:r>
      <w:r>
        <w:rPr>
          <w:sz w:val="20"/>
          <w:szCs w:val="20"/>
        </w:rPr>
        <w:t xml:space="preserve"> </w:t>
      </w:r>
      <w:r>
        <w:rPr>
          <w:sz w:val="20"/>
          <w:szCs w:val="20"/>
        </w:rPr>
        <w:t>2</w:t>
      </w:r>
      <w:r>
        <w:rPr>
          <w:sz w:val="20"/>
          <w:szCs w:val="20"/>
        </w:rPr>
        <w:t>3</w:t>
      </w:r>
      <w:r>
        <w:rPr>
          <w:sz w:val="20"/>
          <w:szCs w:val="20"/>
        </w:rPr>
        <w:t>%, and</w:t>
      </w:r>
      <w:r>
        <w:rPr>
          <w:sz w:val="20"/>
          <w:szCs w:val="20"/>
        </w:rPr>
        <w:t xml:space="preserve"> </w:t>
      </w:r>
      <w:r>
        <w:rPr>
          <w:sz w:val="20"/>
          <w:szCs w:val="20"/>
        </w:rPr>
        <w:t>2</w:t>
      </w:r>
      <w:r>
        <w:rPr>
          <w:sz w:val="20"/>
          <w:szCs w:val="20"/>
        </w:rPr>
        <w:t>1</w:t>
      </w:r>
      <w:r>
        <w:rPr>
          <w:sz w:val="20"/>
          <w:szCs w:val="20"/>
        </w:rPr>
        <w:t>% of total revenue for 2022, 2021, and 2020, respectively. The BOP accounted for</w:t>
      </w:r>
      <w:r>
        <w:rPr>
          <w:sz w:val="20"/>
          <w:szCs w:val="20"/>
        </w:rPr>
        <w:t xml:space="preserve"> </w:t>
      </w:r>
      <w:r>
        <w:rPr>
          <w:sz w:val="20"/>
          <w:szCs w:val="20"/>
        </w:rPr>
        <w:t>3</w:t>
      </w:r>
      <w:r>
        <w:rPr>
          <w:sz w:val="20"/>
          <w:szCs w:val="20"/>
        </w:rPr>
        <w:t>% of total revenue for 2022, 2021, and 2020. These federal customers have management contracts at facilities CoreCivic owns a</w:t>
      </w:r>
      <w:r>
        <w:rPr>
          <w:sz w:val="20"/>
          <w:szCs w:val="20"/>
        </w:rPr>
        <w:t>nd at facilities CoreCivic manages but does not own. State revenues from contracts at correctional, detention, and residential reentry facilities that CoreCivic operates represented</w:t>
      </w:r>
      <w:r>
        <w:rPr>
          <w:sz w:val="20"/>
          <w:szCs w:val="20"/>
        </w:rPr>
        <w:t xml:space="preserve"> </w:t>
      </w:r>
      <w:r>
        <w:rPr>
          <w:sz w:val="20"/>
          <w:szCs w:val="20"/>
        </w:rPr>
        <w:t>3</w:t>
      </w:r>
      <w:r>
        <w:rPr>
          <w:sz w:val="20"/>
          <w:szCs w:val="20"/>
        </w:rPr>
        <w:t>6</w:t>
      </w:r>
      <w:r>
        <w:rPr>
          <w:sz w:val="20"/>
          <w:szCs w:val="20"/>
        </w:rPr>
        <w:t>%,</w:t>
      </w:r>
      <w:r>
        <w:rPr>
          <w:sz w:val="20"/>
          <w:szCs w:val="20"/>
        </w:rPr>
        <w:t xml:space="preserve"> </w:t>
      </w:r>
      <w:r>
        <w:rPr>
          <w:sz w:val="20"/>
          <w:szCs w:val="20"/>
        </w:rPr>
        <w:t>3</w:t>
      </w:r>
      <w:r>
        <w:rPr>
          <w:sz w:val="20"/>
          <w:szCs w:val="20"/>
        </w:rPr>
        <w:t>2</w:t>
      </w:r>
      <w:r>
        <w:rPr>
          <w:sz w:val="20"/>
          <w:szCs w:val="20"/>
        </w:rPr>
        <w:t>%, and</w:t>
      </w:r>
      <w:r>
        <w:rPr>
          <w:sz w:val="20"/>
          <w:szCs w:val="20"/>
        </w:rPr>
        <w:t xml:space="preserve"> </w:t>
      </w:r>
      <w:r>
        <w:rPr>
          <w:sz w:val="20"/>
          <w:szCs w:val="20"/>
        </w:rPr>
        <w:t>3</w:t>
      </w:r>
      <w:r>
        <w:rPr>
          <w:sz w:val="20"/>
          <w:szCs w:val="20"/>
        </w:rPr>
        <w:t>3</w:t>
      </w:r>
      <w:r>
        <w:rPr>
          <w:sz w:val="20"/>
          <w:szCs w:val="20"/>
        </w:rPr>
        <w:t>% of total revenue during the years ended</w:t>
      </w:r>
      <w:r>
        <w:rPr>
          <w:sz w:val="20"/>
          <w:szCs w:val="20"/>
        </w:rPr>
        <w:t xml:space="preserve"> </w:t>
      </w:r>
      <w:r>
        <w:rPr>
          <w:sz w:val="20"/>
          <w:szCs w:val="20"/>
        </w:rPr>
        <w:t>December 31, 202</w:t>
      </w:r>
      <w:r>
        <w:rPr>
          <w:sz w:val="20"/>
          <w:szCs w:val="20"/>
        </w:rPr>
        <w:t>2, 2021, and 202</w:t>
      </w:r>
      <w:r>
        <w:rPr>
          <w:sz w:val="20"/>
          <w:szCs w:val="20"/>
        </w:rPr>
        <w:t>0</w:t>
      </w:r>
      <w:r>
        <w:rPr>
          <w:sz w:val="20"/>
          <w:szCs w:val="20"/>
        </w:rPr>
        <w:t>, respectively. The state of Tennessee generated</w:t>
      </w:r>
      <w:r>
        <w:rPr>
          <w:sz w:val="20"/>
          <w:szCs w:val="20"/>
        </w:rPr>
        <w:t xml:space="preserve"> </w:t>
      </w:r>
      <w:r>
        <w:rPr>
          <w:sz w:val="20"/>
          <w:szCs w:val="20"/>
        </w:rPr>
        <w:t>1</w:t>
      </w:r>
      <w:r>
        <w:rPr>
          <w:sz w:val="20"/>
          <w:szCs w:val="20"/>
        </w:rPr>
        <w:t>0</w:t>
      </w:r>
      <w:r>
        <w:rPr>
          <w:sz w:val="20"/>
          <w:szCs w:val="20"/>
        </w:rPr>
        <w:t>% of CoreCivic's total revenue in 2022. Although the revenue generated from each of these agencies is derived from numerous management contracts and various types of properties, i.e. corre</w:t>
      </w:r>
      <w:r>
        <w:rPr>
          <w:sz w:val="20"/>
          <w:szCs w:val="20"/>
        </w:rPr>
        <w:t>ctional, detention, and reentry, the loss</w:t>
      </w:r>
      <w:r>
        <w:rPr>
          <w:sz w:val="20"/>
          <w:szCs w:val="20"/>
        </w:rPr>
        <w:t xml:space="preserve"> </w:t>
      </w:r>
      <w:r>
        <w:rPr>
          <w:sz w:val="20"/>
          <w:szCs w:val="20"/>
        </w:rPr>
        <w:t>or substantial reduction in value of one or more of such contracts could have a material impact on CoreCivic's financial condition and results of operations</w:t>
      </w:r>
      <w:r>
        <w:rPr>
          <w:sz w:val="20"/>
          <w:szCs w:val="20"/>
        </w:rPr>
        <w:t>.</w:t>
      </w:r>
      <w:r>
        <w:rPr>
          <w:sz w:val="20"/>
          <w:szCs w:val="20"/>
        </w:rPr>
        <w:t xml:space="preserve"> </w:t>
      </w:r>
    </w:p>
    <w:p w:rsidR="00000000" w:rsidRDefault="006D723D">
      <w:pPr>
        <w:pStyle w:val="a3"/>
        <w:spacing w:before="0" w:beforeAutospacing="0" w:after="0" w:afterAutospacing="0"/>
        <w:jc w:val="center"/>
        <w:divId w:val="1882552899"/>
        <w:rPr>
          <w:sz w:val="20"/>
          <w:szCs w:val="20"/>
        </w:rPr>
      </w:pPr>
      <w:r>
        <w:rPr>
          <w:sz w:val="20"/>
          <w:szCs w:val="20"/>
        </w:rPr>
        <w:t>F</w:t>
      </w:r>
      <w:r>
        <w:rPr>
          <w:sz w:val="20"/>
          <w:szCs w:val="20"/>
        </w:rPr>
        <w:t>-</w:t>
      </w:r>
      <w:r>
        <w:rPr>
          <w:sz w:val="20"/>
          <w:szCs w:val="20"/>
        </w:rPr>
        <w:t>1</w:t>
      </w:r>
      <w:r>
        <w:rPr>
          <w:sz w:val="20"/>
          <w:szCs w:val="20"/>
        </w:rPr>
        <w:t>3</w:t>
      </w:r>
    </w:p>
    <w:p w:rsidR="00000000" w:rsidRDefault="006D723D">
      <w:pPr>
        <w:divId w:val="1882552899"/>
        <w:rPr>
          <w:rFonts w:eastAsia="Times New Roman"/>
          <w:sz w:val="20"/>
          <w:szCs w:val="20"/>
        </w:rPr>
      </w:pPr>
      <w:r>
        <w:rPr>
          <w:rFonts w:eastAsia="Times New Roman"/>
          <w:sz w:val="20"/>
          <w:szCs w:val="20"/>
        </w:rPr>
        <w:pict>
          <v:rect id="_x0000_i1141" style="width:0;height:1.5pt" o:hralign="center" o:hrstd="t" o:hr="t" fillcolor="#a0a0a0" stroked="f"/>
        </w:pict>
      </w:r>
    </w:p>
    <w:p w:rsidR="00000000" w:rsidRDefault="006D723D">
      <w:pPr>
        <w:pStyle w:val="a3"/>
        <w:spacing w:before="0" w:beforeAutospacing="0" w:after="0" w:afterAutospacing="0"/>
        <w:divId w:val="1882552899"/>
        <w:rPr>
          <w:sz w:val="20"/>
          <w:szCs w:val="20"/>
        </w:rPr>
      </w:pPr>
      <w:r>
        <w:rPr>
          <w:sz w:val="20"/>
          <w:szCs w:val="20"/>
        </w:rPr>
        <w:t> </w:t>
      </w:r>
    </w:p>
    <w:p w:rsidR="00000000" w:rsidRDefault="006D723D">
      <w:pPr>
        <w:pStyle w:val="a3"/>
        <w:spacing w:before="240" w:beforeAutospacing="0" w:after="0" w:afterAutospacing="0"/>
        <w:ind w:left="476"/>
        <w:jc w:val="both"/>
        <w:divId w:val="1882552899"/>
        <w:rPr>
          <w:sz w:val="20"/>
          <w:szCs w:val="20"/>
        </w:rPr>
      </w:pPr>
      <w:r>
        <w:rPr>
          <w:sz w:val="20"/>
          <w:szCs w:val="20"/>
        </w:rPr>
        <w:t>On January 2</w:t>
      </w:r>
      <w:r>
        <w:rPr>
          <w:sz w:val="20"/>
          <w:szCs w:val="20"/>
        </w:rPr>
        <w:t>6, 2021, President Biden issued the Executive Order on Reforming Our Incarceration System to Eliminate the Use of Privately Operated Criminal Detention Facilities ("Private Prison EO"). The Private Prison EO directs the Attorney General to not renew United</w:t>
      </w:r>
      <w:r>
        <w:rPr>
          <w:sz w:val="20"/>
          <w:szCs w:val="20"/>
        </w:rPr>
        <w:t xml:space="preserve"> States Department of Justice ("DOJ") contracts with privately operated criminal detention facilities. Two agencies of the DOJ, the USMS and the BOP, utilize CoreCivic's services. ICE facilities are not covered by the Private Prison EO, as ICE is an agency</w:t>
      </w:r>
      <w:r>
        <w:rPr>
          <w:sz w:val="20"/>
          <w:szCs w:val="20"/>
        </w:rPr>
        <w:t xml:space="preserve"> of the Department of Homeland Security ("DHS"), not the DOJ, although it is possible that the federal government could choose to take similar action on ICE facilities in the future. CoreCivic currently ha</w:t>
      </w:r>
      <w:r>
        <w:rPr>
          <w:sz w:val="20"/>
          <w:szCs w:val="20"/>
        </w:rPr>
        <w:t>s</w:t>
      </w:r>
      <w:r>
        <w:rPr>
          <w:sz w:val="20"/>
          <w:szCs w:val="20"/>
        </w:rPr>
        <w:t xml:space="preserve"> two detention facilities that have direct contrac</w:t>
      </w:r>
      <w:r>
        <w:rPr>
          <w:sz w:val="20"/>
          <w:szCs w:val="20"/>
        </w:rPr>
        <w:t>ts with the USMS</w:t>
      </w:r>
      <w:r>
        <w:rPr>
          <w:sz w:val="20"/>
          <w:szCs w:val="20"/>
        </w:rPr>
        <w:t xml:space="preserve"> </w:t>
      </w:r>
      <w:r>
        <w:rPr>
          <w:sz w:val="20"/>
          <w:szCs w:val="20"/>
        </w:rPr>
        <w:t>that expire in September 2023 and September 2025. The facility with the contract expiring in September 2023 services a substantial number of USMS detainees that the Company believes will be challenging to replace, and the Company intends t</w:t>
      </w:r>
      <w:r>
        <w:rPr>
          <w:sz w:val="20"/>
          <w:szCs w:val="20"/>
        </w:rPr>
        <w:t>o work with the USMS to enable it to continue to fulfill its mission.</w:t>
      </w:r>
      <w:r>
        <w:rPr>
          <w:sz w:val="20"/>
          <w:szCs w:val="20"/>
        </w:rPr>
        <w:t xml:space="preserve"> </w:t>
      </w:r>
      <w:r>
        <w:rPr>
          <w:sz w:val="20"/>
          <w:szCs w:val="20"/>
        </w:rPr>
        <w:t>However, the Company can provide no assurance that this contract will be renewed or replaced upon expiration. It is too early to predict the outcome of the expiration of the contract sch</w:t>
      </w:r>
      <w:r>
        <w:rPr>
          <w:sz w:val="20"/>
          <w:szCs w:val="20"/>
        </w:rPr>
        <w:t>eduled to expire in September 2025, and future developments could occur prior to the scheduled expiration dat</w:t>
      </w:r>
      <w:r>
        <w:rPr>
          <w:sz w:val="20"/>
          <w:szCs w:val="20"/>
        </w:rPr>
        <w:t>e</w:t>
      </w:r>
      <w:r>
        <w:rPr>
          <w:sz w:val="20"/>
          <w:szCs w:val="20"/>
        </w:rPr>
        <w:t>.</w:t>
      </w:r>
      <w:r>
        <w:rPr>
          <w:sz w:val="20"/>
          <w:szCs w:val="20"/>
        </w:rPr>
        <w:t xml:space="preserve"> </w:t>
      </w:r>
    </w:p>
    <w:p w:rsidR="00000000" w:rsidRDefault="006D723D">
      <w:pPr>
        <w:pStyle w:val="a3"/>
        <w:spacing w:before="360" w:beforeAutospacing="0" w:after="0" w:afterAutospacing="0"/>
        <w:ind w:left="476"/>
        <w:jc w:val="both"/>
        <w:divId w:val="77945950"/>
        <w:rPr>
          <w:sz w:val="20"/>
          <w:szCs w:val="20"/>
        </w:rPr>
      </w:pPr>
      <w:r>
        <w:rPr>
          <w:b/>
          <w:bCs/>
          <w:sz w:val="20"/>
          <w:szCs w:val="20"/>
        </w:rPr>
        <w:t>Accounting for Stock-Based Compensatio</w:t>
      </w:r>
      <w:r>
        <w:rPr>
          <w:b/>
          <w:bCs/>
          <w:sz w:val="20"/>
          <w:szCs w:val="20"/>
        </w:rPr>
        <w:t>n</w:t>
      </w:r>
    </w:p>
    <w:p w:rsidR="00000000" w:rsidRDefault="006D723D">
      <w:pPr>
        <w:pStyle w:val="a3"/>
        <w:spacing w:before="120" w:beforeAutospacing="0" w:after="0" w:afterAutospacing="0"/>
        <w:ind w:left="476"/>
        <w:jc w:val="both"/>
        <w:divId w:val="77945950"/>
        <w:rPr>
          <w:sz w:val="20"/>
          <w:szCs w:val="20"/>
        </w:rPr>
      </w:pPr>
      <w:r>
        <w:rPr>
          <w:sz w:val="20"/>
          <w:szCs w:val="20"/>
        </w:rPr>
        <w:t>CoreCivic accounts for restricted stock-based compensation under the recognition and measurement princi</w:t>
      </w:r>
      <w:r>
        <w:rPr>
          <w:sz w:val="20"/>
          <w:szCs w:val="20"/>
        </w:rPr>
        <w:t>ples of ASC 718, "Compensation-Stock Compensation". CoreCivic amortizes the fair market value as of the grant date of restricted stock unit ("RSU") awards over the vesting period using the straight-line method. The fair market value of performance-based re</w:t>
      </w:r>
      <w:r>
        <w:rPr>
          <w:sz w:val="20"/>
          <w:szCs w:val="20"/>
        </w:rPr>
        <w:t>stricted stock units is amortized over the vesting period as long as CoreCivic expects to meet the performance criteria. To the extent performance-based RSUs are expected to increase or decrease based on revised estimates of performance, the related expens</w:t>
      </w:r>
      <w:r>
        <w:rPr>
          <w:sz w:val="20"/>
          <w:szCs w:val="20"/>
        </w:rPr>
        <w:t xml:space="preserve">e is adjusted accordingly. If achievement of the performance criteria becomes improbable, an adjustment is made to reverse the expense previously recognized. The Company estimates the number of awards expected to be forfeited and adjusts the estimate when </w:t>
      </w:r>
      <w:r>
        <w:rPr>
          <w:sz w:val="20"/>
          <w:szCs w:val="20"/>
        </w:rPr>
        <w:t>it is likely to change</w:t>
      </w:r>
      <w:r>
        <w:rPr>
          <w:sz w:val="20"/>
          <w:szCs w:val="20"/>
        </w:rPr>
        <w:t>.</w:t>
      </w:r>
      <w:r>
        <w:rPr>
          <w:sz w:val="20"/>
          <w:szCs w:val="20"/>
        </w:rPr>
        <w:t xml:space="preserve"> </w:t>
      </w:r>
    </w:p>
    <w:p w:rsidR="00000000" w:rsidRDefault="006D723D">
      <w:pPr>
        <w:pStyle w:val="a3"/>
        <w:spacing w:before="360" w:beforeAutospacing="0" w:after="0" w:afterAutospacing="0"/>
        <w:ind w:left="476"/>
        <w:jc w:val="both"/>
        <w:divId w:val="772625358"/>
        <w:rPr>
          <w:sz w:val="20"/>
          <w:szCs w:val="20"/>
        </w:rPr>
      </w:pPr>
      <w:r>
        <w:rPr>
          <w:b/>
          <w:bCs/>
          <w:sz w:val="20"/>
          <w:szCs w:val="20"/>
        </w:rPr>
        <w:t>Lease</w:t>
      </w:r>
      <w:r>
        <w:rPr>
          <w:b/>
          <w:bCs/>
          <w:sz w:val="20"/>
          <w:szCs w:val="20"/>
        </w:rPr>
        <w:t>s</w:t>
      </w:r>
      <w:r>
        <w:rPr>
          <w:b/>
          <w:bCs/>
          <w:sz w:val="20"/>
          <w:szCs w:val="20"/>
        </w:rPr>
        <w:t xml:space="preserve"> </w:t>
      </w:r>
    </w:p>
    <w:p w:rsidR="00000000" w:rsidRDefault="006D723D">
      <w:pPr>
        <w:pStyle w:val="a3"/>
        <w:spacing w:before="120" w:beforeAutospacing="0" w:after="0" w:afterAutospacing="0"/>
        <w:ind w:left="476"/>
        <w:jc w:val="both"/>
        <w:divId w:val="772625358"/>
        <w:rPr>
          <w:sz w:val="20"/>
          <w:szCs w:val="20"/>
        </w:rPr>
      </w:pPr>
      <w:r>
        <w:rPr>
          <w:sz w:val="20"/>
          <w:szCs w:val="20"/>
        </w:rPr>
        <w:t xml:space="preserve">Leases are accounted for under the provisions of ASU 2016-02, "Leases (Topic 842)" and ASU 2018-11, "Targeted Improvements – Leases (Topic 842)", cumulatively ("ASC 842"). For finance leases and operating leases, CoreCivic </w:t>
      </w:r>
      <w:r>
        <w:rPr>
          <w:sz w:val="20"/>
          <w:szCs w:val="20"/>
        </w:rPr>
        <w:t xml:space="preserve">recognizes on the balance sheet a liability to make lease payments and a right-of-use ("ROU") asset representing its right to use the underlying asset for the lease term, with each initially measured at the present value of the lease payments. The Company </w:t>
      </w:r>
      <w:r>
        <w:rPr>
          <w:sz w:val="20"/>
          <w:szCs w:val="20"/>
        </w:rPr>
        <w:t>also applies the "short-term lease exception" permitted by ASC 842 for all classes of underlying assets. With the exception of the South Texas Family Residential Center lease, as further described in Note 5, the Company accounts for each separate lease com</w:t>
      </w:r>
      <w:r>
        <w:rPr>
          <w:sz w:val="20"/>
          <w:szCs w:val="20"/>
        </w:rPr>
        <w:t>ponent of a contract and its associated non-lease components as a single lease component. All rental payments associated with the South Texas Family Residential Center lease are classified as operating expenses</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772625358"/>
        <w:rPr>
          <w:sz w:val="20"/>
          <w:szCs w:val="20"/>
        </w:rPr>
      </w:pPr>
      <w:r>
        <w:rPr>
          <w:sz w:val="20"/>
          <w:szCs w:val="20"/>
        </w:rPr>
        <w:t>For those operating leases that contain ren</w:t>
      </w:r>
      <w:r>
        <w:rPr>
          <w:sz w:val="20"/>
          <w:szCs w:val="20"/>
        </w:rPr>
        <w:t>ewal options, the Company includes the renewal period in the lease terms, and the related payments are reflected in the ROU asset and lease liability, when it is reasonably certain that a renewal option will be exercised. The ROU asset is included in other</w:t>
      </w:r>
      <w:r>
        <w:rPr>
          <w:sz w:val="20"/>
          <w:szCs w:val="20"/>
        </w:rPr>
        <w:t xml:space="preserve"> assets on the consolidated balance sheets, while the current portion of the lease liability is included in accounts payable and accrued expenses, and the long-term portion of the liability is included in other liabilities on the consolidated balance sheet</w:t>
      </w:r>
      <w:r>
        <w:rPr>
          <w:sz w:val="20"/>
          <w:szCs w:val="20"/>
        </w:rPr>
        <w:t>s.</w:t>
      </w:r>
      <w:r>
        <w:rPr>
          <w:sz w:val="20"/>
          <w:szCs w:val="20"/>
        </w:rPr>
        <w:t xml:space="preserve"> </w:t>
      </w:r>
      <w:r>
        <w:rPr>
          <w:sz w:val="20"/>
          <w:szCs w:val="20"/>
        </w:rPr>
        <w:t>Because CoreCivic does not generally have access to the interest rates implicit in its leases, the Company utilizes its incremental borrowing rate, based upon the terms and tenure of each base lease, as the discount rate when calculating the present val</w:t>
      </w:r>
      <w:r>
        <w:rPr>
          <w:sz w:val="20"/>
          <w:szCs w:val="20"/>
        </w:rPr>
        <w:t>ue of future minimum lease payments for each lease arrangement</w:t>
      </w:r>
      <w:r>
        <w:rPr>
          <w:sz w:val="20"/>
          <w:szCs w:val="20"/>
        </w:rPr>
        <w:t>.</w:t>
      </w:r>
      <w:r>
        <w:rPr>
          <w:sz w:val="20"/>
          <w:szCs w:val="20"/>
        </w:rPr>
        <w:t xml:space="preserve"> </w:t>
      </w:r>
    </w:p>
    <w:p w:rsidR="00000000" w:rsidRDefault="006D723D">
      <w:pPr>
        <w:pStyle w:val="a3"/>
        <w:spacing w:before="0" w:beforeAutospacing="0" w:after="0" w:afterAutospacing="0"/>
        <w:jc w:val="center"/>
        <w:divId w:val="772625358"/>
        <w:rPr>
          <w:sz w:val="20"/>
          <w:szCs w:val="20"/>
        </w:rPr>
      </w:pPr>
      <w:r>
        <w:rPr>
          <w:sz w:val="20"/>
          <w:szCs w:val="20"/>
        </w:rPr>
        <w:t>F</w:t>
      </w:r>
      <w:r>
        <w:rPr>
          <w:sz w:val="20"/>
          <w:szCs w:val="20"/>
        </w:rPr>
        <w:t>-</w:t>
      </w:r>
      <w:r>
        <w:rPr>
          <w:sz w:val="20"/>
          <w:szCs w:val="20"/>
        </w:rPr>
        <w:t>1</w:t>
      </w:r>
      <w:r>
        <w:rPr>
          <w:sz w:val="20"/>
          <w:szCs w:val="20"/>
        </w:rPr>
        <w:t>4</w:t>
      </w:r>
    </w:p>
    <w:p w:rsidR="00000000" w:rsidRDefault="006D723D">
      <w:pPr>
        <w:divId w:val="772625358"/>
        <w:rPr>
          <w:rFonts w:eastAsia="Times New Roman"/>
        </w:rPr>
      </w:pPr>
      <w:r>
        <w:rPr>
          <w:rFonts w:eastAsia="Times New Roman"/>
        </w:rPr>
        <w:pict>
          <v:rect id="_x0000_i1142" style="width:0;height:1.5pt" o:hralign="center" o:hrstd="t" o:hr="t" fillcolor="#a0a0a0" stroked="f"/>
        </w:pict>
      </w:r>
    </w:p>
    <w:p w:rsidR="00000000" w:rsidRDefault="006D723D">
      <w:pPr>
        <w:pStyle w:val="a3"/>
        <w:spacing w:before="0" w:beforeAutospacing="0" w:after="0" w:afterAutospacing="0"/>
        <w:divId w:val="772625358"/>
        <w:rPr>
          <w:sz w:val="20"/>
          <w:szCs w:val="20"/>
        </w:rPr>
      </w:pPr>
      <w:r>
        <w:rPr>
          <w:sz w:val="20"/>
          <w:szCs w:val="20"/>
        </w:rPr>
        <w:t> </w:t>
      </w:r>
    </w:p>
    <w:p w:rsidR="00000000" w:rsidRDefault="006D723D">
      <w:pPr>
        <w:pStyle w:val="a3"/>
        <w:spacing w:before="240" w:beforeAutospacing="0" w:after="0" w:afterAutospacing="0"/>
        <w:ind w:left="476"/>
        <w:jc w:val="both"/>
        <w:divId w:val="772625358"/>
        <w:rPr>
          <w:sz w:val="20"/>
          <w:szCs w:val="20"/>
        </w:rPr>
      </w:pPr>
      <w:r>
        <w:rPr>
          <w:sz w:val="20"/>
          <w:szCs w:val="20"/>
        </w:rPr>
        <w:t>For leases where the Company is the lessor, the Company applies the practical expedient provided by ASC 842 to not separate non-lease components fro</w:t>
      </w:r>
      <w:r>
        <w:rPr>
          <w:sz w:val="20"/>
          <w:szCs w:val="20"/>
        </w:rPr>
        <w:t>m the associated lease component if certain criteria are met for each class of underlying assets. Lease components are elements of an arrangement that provide the customer with the right to use an identified asset. Non-lease components are distinct element</w:t>
      </w:r>
      <w:r>
        <w:rPr>
          <w:sz w:val="20"/>
          <w:szCs w:val="20"/>
        </w:rPr>
        <w:t>s of a contract that are not related to securing the use of the leased asset and revenue is recognized in accordance with ASC 606. The Company considers common area maintenance ("CAM") and service income associated with tenant work orders to be non-lease c</w:t>
      </w:r>
      <w:r>
        <w:rPr>
          <w:sz w:val="20"/>
          <w:szCs w:val="20"/>
        </w:rPr>
        <w:t xml:space="preserve">omponents because they represent delivery of a separate service but are not considered a cost of securing the identified asset. In the case of the Company's business, the identified asset would be the leased real estate. The Company has concluded that the </w:t>
      </w:r>
      <w:r>
        <w:rPr>
          <w:sz w:val="20"/>
          <w:szCs w:val="20"/>
        </w:rPr>
        <w:t>timing and pattern of transfer for non-lease components and the associated lease component are the same. The Company has also determined that the predominant component is the lease component and as such its leases qualify as operating leases. The Company a</w:t>
      </w:r>
      <w:r>
        <w:rPr>
          <w:sz w:val="20"/>
          <w:szCs w:val="20"/>
        </w:rPr>
        <w:t>ccounts for and presents the lease component and the non-lease component as a single component in revenue</w:t>
      </w:r>
      <w:r>
        <w:rPr>
          <w:sz w:val="20"/>
          <w:szCs w:val="20"/>
        </w:rPr>
        <w:t>.</w:t>
      </w:r>
      <w:r>
        <w:rPr>
          <w:sz w:val="20"/>
          <w:szCs w:val="20"/>
        </w:rPr>
        <w:t xml:space="preserve"> </w:t>
      </w:r>
    </w:p>
    <w:p w:rsidR="00000000" w:rsidRDefault="006D723D">
      <w:pPr>
        <w:pStyle w:val="a3"/>
        <w:spacing w:before="360" w:beforeAutospacing="0" w:after="0" w:afterAutospacing="0"/>
        <w:ind w:left="476"/>
        <w:jc w:val="both"/>
        <w:divId w:val="598568690"/>
        <w:rPr>
          <w:sz w:val="20"/>
          <w:szCs w:val="20"/>
        </w:rPr>
      </w:pPr>
      <w:r>
        <w:rPr>
          <w:b/>
          <w:bCs/>
          <w:sz w:val="20"/>
          <w:szCs w:val="20"/>
        </w:rPr>
        <w:t>Recent Accounting Pronouncement</w:t>
      </w:r>
      <w:r>
        <w:rPr>
          <w:b/>
          <w:bCs/>
          <w:sz w:val="20"/>
          <w:szCs w:val="20"/>
        </w:rPr>
        <w:t>s</w:t>
      </w:r>
      <w:r>
        <w:rPr>
          <w:b/>
          <w:bCs/>
          <w:sz w:val="20"/>
          <w:szCs w:val="20"/>
        </w:rPr>
        <w:t xml:space="preserve"> </w:t>
      </w:r>
    </w:p>
    <w:p w:rsidR="00000000" w:rsidRDefault="006D723D">
      <w:pPr>
        <w:pStyle w:val="a3"/>
        <w:spacing w:before="120" w:beforeAutospacing="0" w:after="0" w:afterAutospacing="0"/>
        <w:ind w:left="476"/>
        <w:jc w:val="both"/>
        <w:divId w:val="598568690"/>
        <w:rPr>
          <w:sz w:val="20"/>
          <w:szCs w:val="20"/>
        </w:rPr>
      </w:pPr>
      <w:r>
        <w:rPr>
          <w:rFonts w:ascii="Arial" w:hAnsi="Arial" w:cs="Arial"/>
          <w:sz w:val="20"/>
          <w:szCs w:val="20"/>
        </w:rPr>
        <w:t>In</w:t>
      </w:r>
      <w:r>
        <w:rPr>
          <w:rFonts w:ascii="Arial" w:hAnsi="Arial" w:cs="Arial"/>
          <w:sz w:val="20"/>
          <w:szCs w:val="20"/>
        </w:rPr>
        <w:t xml:space="preserve"> </w:t>
      </w:r>
      <w:r>
        <w:rPr>
          <w:sz w:val="20"/>
          <w:szCs w:val="20"/>
        </w:rPr>
        <w:t xml:space="preserve">June 2016, the FASB issued ASU No. 2016-13, "Financial Instruments – Credit Losses – </w:t>
      </w:r>
      <w:r>
        <w:rPr>
          <w:sz w:val="20"/>
          <w:szCs w:val="20"/>
        </w:rPr>
        <w:t>Measurement of Credit Losses on Financial Instruments," which changes how entities measure credit losses for most financial assets and certain other instruments that are not measured at fair value through net income. The ASU replaces the "incurred loss" ap</w:t>
      </w:r>
      <w:r>
        <w:rPr>
          <w:sz w:val="20"/>
          <w:szCs w:val="20"/>
        </w:rPr>
        <w:t>proach with an "expected loss" model for instruments measured at amortized cost. For trade and other receivables, held-to-maturity debt securities, contract assets, loans and other instruments, entities are now required to use a new forward-looking "expect</w:t>
      </w:r>
      <w:r>
        <w:rPr>
          <w:sz w:val="20"/>
          <w:szCs w:val="20"/>
        </w:rPr>
        <w:t>ed loss" model that generally will result in the earlier recognition of allowances for losses. Upon its effective date, CoreCivic adopted the ASU in the first quarter of 2020</w:t>
      </w:r>
      <w:r>
        <w:rPr>
          <w:sz w:val="20"/>
          <w:szCs w:val="20"/>
        </w:rPr>
        <w:t>.</w:t>
      </w:r>
      <w:r>
        <w:rPr>
          <w:b/>
          <w:bCs/>
          <w:sz w:val="20"/>
          <w:szCs w:val="20"/>
        </w:rPr>
        <w:t xml:space="preserve"> </w:t>
      </w:r>
      <w:r>
        <w:rPr>
          <w:sz w:val="20"/>
          <w:szCs w:val="20"/>
        </w:rPr>
        <w:t xml:space="preserve">The Company recognized a charge of </w:t>
      </w:r>
      <w:r>
        <w:rPr>
          <w:sz w:val="20"/>
          <w:szCs w:val="20"/>
        </w:rPr>
        <w:t>$</w:t>
      </w:r>
      <w:r>
        <w:rPr>
          <w:sz w:val="20"/>
          <w:szCs w:val="20"/>
        </w:rPr>
        <w:t>1.</w:t>
      </w:r>
      <w:r>
        <w:rPr>
          <w:sz w:val="20"/>
          <w:szCs w:val="20"/>
        </w:rPr>
        <w:t>0</w:t>
      </w:r>
      <w:r>
        <w:rPr>
          <w:sz w:val="20"/>
          <w:szCs w:val="20"/>
        </w:rPr>
        <w:t xml:space="preserve"> million to accumulated deficit upon adop</w:t>
      </w:r>
      <w:r>
        <w:rPr>
          <w:sz w:val="20"/>
          <w:szCs w:val="20"/>
        </w:rPr>
        <w:t>tion of ASU 2016-13. Based principally on the fact that the largest portion of the Company's accounts receivable is with governmental agencies with high credit ratings, the adoption of ASU 2016-13 did not have a material impact on its financial statements</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598568690"/>
        <w:rPr>
          <w:sz w:val="20"/>
          <w:szCs w:val="20"/>
        </w:rPr>
      </w:pPr>
      <w:r>
        <w:rPr>
          <w:sz w:val="20"/>
          <w:szCs w:val="20"/>
        </w:rPr>
        <w:t>Other recent accounting pronouncements issued by the FASB (including its Emerging Issues Task Force), the American Institute of Certified Public Accountants and the Securities and Exchange Commission ("SEC") did not, or are not expected to, have a materi</w:t>
      </w:r>
      <w:r>
        <w:rPr>
          <w:sz w:val="20"/>
          <w:szCs w:val="20"/>
        </w:rPr>
        <w:t>al effect on the Company's results of operations or financial position</w:t>
      </w:r>
      <w:r>
        <w:rPr>
          <w:sz w:val="20"/>
          <w:szCs w:val="20"/>
        </w:rPr>
        <w:t>.</w:t>
      </w:r>
    </w:p>
    <w:p w:rsidR="00000000" w:rsidRDefault="006D723D">
      <w:pPr>
        <w:jc w:val="both"/>
        <w:divId w:val="272445361"/>
        <w:rPr>
          <w:rFonts w:eastAsia="Times New Roman"/>
          <w:sz w:val="20"/>
          <w:szCs w:val="20"/>
        </w:rPr>
      </w:pPr>
      <w:r>
        <w:rPr>
          <w:rFonts w:eastAsia="Times New Roman"/>
          <w:b/>
          <w:bCs/>
          <w:sz w:val="20"/>
          <w:szCs w:val="20"/>
        </w:rPr>
        <w:t>3</w:t>
      </w:r>
      <w:r>
        <w:rPr>
          <w:rFonts w:eastAsia="Times New Roman"/>
          <w:b/>
          <w:bCs/>
          <w:sz w:val="20"/>
          <w:szCs w:val="20"/>
        </w:rPr>
        <w:t>.</w:t>
      </w:r>
    </w:p>
    <w:p w:rsidR="00000000" w:rsidRDefault="006D723D">
      <w:pPr>
        <w:jc w:val="both"/>
        <w:divId w:val="916596649"/>
        <w:rPr>
          <w:rFonts w:eastAsia="Times New Roman"/>
          <w:sz w:val="20"/>
          <w:szCs w:val="20"/>
        </w:rPr>
      </w:pPr>
      <w:r>
        <w:rPr>
          <w:rFonts w:eastAsia="Times New Roman"/>
          <w:b/>
          <w:bCs/>
          <w:sz w:val="20"/>
          <w:szCs w:val="20"/>
        </w:rPr>
        <w:t>GOODWILL</w:t>
      </w:r>
      <w:r>
        <w:rPr>
          <w:rFonts w:eastAsia="Times New Roman"/>
          <w:b/>
          <w:bCs/>
          <w:sz w:val="20"/>
          <w:szCs w:val="20"/>
        </w:rPr>
        <w:t xml:space="preserve"> </w:t>
      </w:r>
    </w:p>
    <w:p w:rsidR="00000000" w:rsidRDefault="006D723D">
      <w:pPr>
        <w:pStyle w:val="a3"/>
        <w:spacing w:before="120" w:beforeAutospacing="0" w:after="0" w:afterAutospacing="0"/>
        <w:ind w:left="476"/>
        <w:jc w:val="both"/>
        <w:divId w:val="844515091"/>
        <w:rPr>
          <w:sz w:val="20"/>
          <w:szCs w:val="20"/>
        </w:rPr>
      </w:pPr>
      <w:r>
        <w:rPr>
          <w:sz w:val="20"/>
          <w:szCs w:val="20"/>
        </w:rPr>
        <w:t xml:space="preserve">ASU 2017-04, "Intangibles-Goodwill and Other (Topic 350): Simplifying the Test of Goodwill Impairment", establishes accounting and reporting requirements for goodwill and </w:t>
      </w:r>
      <w:r>
        <w:rPr>
          <w:sz w:val="20"/>
          <w:szCs w:val="20"/>
        </w:rPr>
        <w:t xml:space="preserve">other intangible assets. Goodwill was </w:t>
      </w:r>
      <w:r>
        <w:rPr>
          <w:sz w:val="20"/>
          <w:szCs w:val="20"/>
        </w:rPr>
        <w:t>$</w:t>
      </w:r>
      <w:r>
        <w:rPr>
          <w:sz w:val="20"/>
          <w:szCs w:val="20"/>
        </w:rPr>
        <w:t>4.</w:t>
      </w:r>
      <w:r>
        <w:rPr>
          <w:sz w:val="20"/>
          <w:szCs w:val="20"/>
        </w:rPr>
        <w:t>8</w:t>
      </w:r>
      <w:r>
        <w:rPr>
          <w:sz w:val="20"/>
          <w:szCs w:val="20"/>
        </w:rPr>
        <w:t xml:space="preserve"> million as of</w:t>
      </w:r>
      <w:r>
        <w:rPr>
          <w:sz w:val="20"/>
          <w:szCs w:val="20"/>
        </w:rPr>
        <w:t xml:space="preserve"> </w:t>
      </w:r>
      <w:r>
        <w:rPr>
          <w:sz w:val="20"/>
          <w:szCs w:val="20"/>
        </w:rPr>
        <w:t>December 31, 2022 and 2021, all of which was related to the Company's CoreCivic Safety segment</w:t>
      </w:r>
      <w:r>
        <w:rPr>
          <w:sz w:val="20"/>
          <w:szCs w:val="20"/>
        </w:rPr>
        <w:t>.</w:t>
      </w:r>
    </w:p>
    <w:p w:rsidR="00000000" w:rsidRDefault="006D723D">
      <w:pPr>
        <w:pStyle w:val="a3"/>
        <w:spacing w:before="120" w:beforeAutospacing="0" w:after="0" w:afterAutospacing="0"/>
        <w:ind w:left="476"/>
        <w:jc w:val="both"/>
        <w:divId w:val="844515091"/>
        <w:rPr>
          <w:sz w:val="20"/>
          <w:szCs w:val="20"/>
        </w:rPr>
      </w:pPr>
      <w:r>
        <w:rPr>
          <w:sz w:val="20"/>
          <w:szCs w:val="20"/>
        </w:rPr>
        <w:t>CoreCivic performs its impairment tests during the fourth quarter in connection with its annual budgeti</w:t>
      </w:r>
      <w:r>
        <w:rPr>
          <w:sz w:val="20"/>
          <w:szCs w:val="20"/>
        </w:rPr>
        <w:t>ng process, and whenever circumstances indicate the carrying value of goodwill may not be recoverable. Under the provisions of ASU 2017-04, CoreCivic performs a qualitative assessment to determine whether the existence of events or circumstances leads to a</w:t>
      </w:r>
      <w:r>
        <w:rPr>
          <w:sz w:val="20"/>
          <w:szCs w:val="20"/>
        </w:rPr>
        <w:t xml:space="preserve"> determination that it is more likely than not that the fair value of a reporting unit is less than its carrying amount. If, after assessing the totality of events or circumstances, the Company determines it is more likely than not that the fair value of a</w:t>
      </w:r>
      <w:r>
        <w:rPr>
          <w:sz w:val="20"/>
          <w:szCs w:val="20"/>
        </w:rPr>
        <w:t xml:space="preserve"> reporting unit is less than its carrying amount, then the Company performs a quantitative impairment test. If a quantitative test is required, CoreCivic performs an assessment to identify the existence of impairment and to measure the excess of a reportin</w:t>
      </w:r>
      <w:r>
        <w:rPr>
          <w:sz w:val="20"/>
          <w:szCs w:val="20"/>
        </w:rPr>
        <w:t>g unit's carrying amount over its fair value by using a combination of various common valuation techniques, including market multiples and discounted cash flows under valuation methodologies that include an income approach and a market approach. The income</w:t>
      </w:r>
      <w:r>
        <w:rPr>
          <w:sz w:val="20"/>
          <w:szCs w:val="20"/>
        </w:rPr>
        <w:t xml:space="preserve"> valuation approach includes certain significant assumptions impacting projected future cash flows, such as projected revenue, projected operating costs, and the weighted average cost of capital, which are affected by expectations about future market or ec</w:t>
      </w:r>
      <w:r>
        <w:rPr>
          <w:sz w:val="20"/>
          <w:szCs w:val="20"/>
        </w:rPr>
        <w:t>onomic conditions. These impairment tests are required to be performed at least annually</w:t>
      </w:r>
      <w:r>
        <w:rPr>
          <w:sz w:val="20"/>
          <w:szCs w:val="20"/>
        </w:rPr>
        <w:t>.</w:t>
      </w:r>
      <w:r>
        <w:rPr>
          <w:sz w:val="20"/>
          <w:szCs w:val="20"/>
        </w:rPr>
        <w:t xml:space="preserve"> </w:t>
      </w:r>
    </w:p>
    <w:p w:rsidR="00000000" w:rsidRDefault="006D723D">
      <w:pPr>
        <w:jc w:val="both"/>
        <w:divId w:val="1005472433"/>
        <w:rPr>
          <w:rFonts w:eastAsia="Times New Roman"/>
          <w:sz w:val="20"/>
          <w:szCs w:val="20"/>
        </w:rPr>
      </w:pPr>
      <w:r>
        <w:rPr>
          <w:rFonts w:eastAsia="Times New Roman"/>
          <w:b/>
          <w:bCs/>
          <w:sz w:val="20"/>
          <w:szCs w:val="20"/>
        </w:rPr>
        <w:t>4</w:t>
      </w:r>
      <w:r>
        <w:rPr>
          <w:rFonts w:eastAsia="Times New Roman"/>
          <w:b/>
          <w:bCs/>
          <w:sz w:val="20"/>
          <w:szCs w:val="20"/>
        </w:rPr>
        <w:t>.</w:t>
      </w:r>
    </w:p>
    <w:p w:rsidR="00000000" w:rsidRDefault="006D723D">
      <w:pPr>
        <w:jc w:val="both"/>
        <w:divId w:val="1195535462"/>
        <w:rPr>
          <w:rFonts w:eastAsia="Times New Roman"/>
          <w:sz w:val="20"/>
          <w:szCs w:val="20"/>
        </w:rPr>
      </w:pPr>
      <w:r>
        <w:rPr>
          <w:rFonts w:eastAsia="Times New Roman"/>
          <w:b/>
          <w:bCs/>
          <w:sz w:val="20"/>
          <w:szCs w:val="20"/>
        </w:rPr>
        <w:t>REAL ESTATE AND RELATED ASSET</w:t>
      </w:r>
      <w:r>
        <w:rPr>
          <w:rFonts w:eastAsia="Times New Roman"/>
          <w:b/>
          <w:bCs/>
          <w:sz w:val="20"/>
          <w:szCs w:val="20"/>
        </w:rPr>
        <w:t>S</w:t>
      </w:r>
    </w:p>
    <w:p w:rsidR="00000000" w:rsidRDefault="006D723D">
      <w:pPr>
        <w:pStyle w:val="a3"/>
        <w:spacing w:before="120" w:beforeAutospacing="0" w:after="0" w:afterAutospacing="0"/>
        <w:ind w:left="476"/>
        <w:jc w:val="both"/>
        <w:divId w:val="1835878194"/>
        <w:rPr>
          <w:sz w:val="20"/>
          <w:szCs w:val="20"/>
        </w:rPr>
      </w:pPr>
      <w:r>
        <w:rPr>
          <w:sz w:val="20"/>
          <w:szCs w:val="20"/>
        </w:rPr>
        <w:t>At December 31, 2022, CoreCivic owned</w:t>
      </w:r>
      <w:r>
        <w:rPr>
          <w:sz w:val="20"/>
          <w:szCs w:val="20"/>
        </w:rPr>
        <w:t xml:space="preserve"> </w:t>
      </w:r>
      <w:r>
        <w:rPr>
          <w:sz w:val="20"/>
          <w:szCs w:val="20"/>
        </w:rPr>
        <w:t>6</w:t>
      </w:r>
      <w:r>
        <w:rPr>
          <w:sz w:val="20"/>
          <w:szCs w:val="20"/>
        </w:rPr>
        <w:t>3</w:t>
      </w:r>
      <w:r>
        <w:rPr>
          <w:sz w:val="20"/>
          <w:szCs w:val="20"/>
        </w:rPr>
        <w:t xml:space="preserve"> correctional, detention, and residential reentry real estate properties, and</w:t>
      </w:r>
      <w:r>
        <w:rPr>
          <w:sz w:val="20"/>
          <w:szCs w:val="20"/>
        </w:rPr>
        <w:t xml:space="preserve"> </w:t>
      </w:r>
      <w:r>
        <w:rPr>
          <w:sz w:val="20"/>
          <w:szCs w:val="20"/>
        </w:rPr>
        <w:t>8</w:t>
      </w:r>
      <w:r>
        <w:rPr>
          <w:sz w:val="20"/>
          <w:szCs w:val="20"/>
        </w:rPr>
        <w:t xml:space="preserve"> properties </w:t>
      </w:r>
      <w:r>
        <w:rPr>
          <w:sz w:val="20"/>
          <w:szCs w:val="20"/>
        </w:rPr>
        <w:t>leased to government agencies. At December 31, 2022, CoreCivic also managed</w:t>
      </w:r>
      <w:r>
        <w:rPr>
          <w:sz w:val="20"/>
          <w:szCs w:val="20"/>
        </w:rPr>
        <w:t xml:space="preserve"> </w:t>
      </w:r>
      <w:r>
        <w:rPr>
          <w:sz w:val="20"/>
          <w:szCs w:val="20"/>
        </w:rPr>
        <w:t>fou</w:t>
      </w:r>
      <w:r>
        <w:rPr>
          <w:sz w:val="20"/>
          <w:szCs w:val="20"/>
        </w:rPr>
        <w:t>r</w:t>
      </w:r>
      <w:r>
        <w:rPr>
          <w:sz w:val="20"/>
          <w:szCs w:val="20"/>
        </w:rPr>
        <w:t xml:space="preserve"> correctional and detention facilities owned by governmental agencies</w:t>
      </w:r>
      <w:r>
        <w:rPr>
          <w:sz w:val="20"/>
          <w:szCs w:val="20"/>
        </w:rPr>
        <w:t>.</w:t>
      </w:r>
      <w:r>
        <w:rPr>
          <w:sz w:val="20"/>
          <w:szCs w:val="20"/>
        </w:rPr>
        <w:t xml:space="preserve"> </w:t>
      </w:r>
    </w:p>
    <w:p w:rsidR="00000000" w:rsidRDefault="006D723D">
      <w:pPr>
        <w:pStyle w:val="a3"/>
        <w:spacing w:before="0" w:beforeAutospacing="0" w:after="0" w:afterAutospacing="0"/>
        <w:jc w:val="center"/>
        <w:divId w:val="1835878194"/>
        <w:rPr>
          <w:sz w:val="20"/>
          <w:szCs w:val="20"/>
        </w:rPr>
      </w:pPr>
      <w:r>
        <w:rPr>
          <w:sz w:val="20"/>
          <w:szCs w:val="20"/>
        </w:rPr>
        <w:t>F</w:t>
      </w:r>
      <w:r>
        <w:rPr>
          <w:sz w:val="20"/>
          <w:szCs w:val="20"/>
        </w:rPr>
        <w:t>-</w:t>
      </w:r>
      <w:r>
        <w:rPr>
          <w:sz w:val="20"/>
          <w:szCs w:val="20"/>
        </w:rPr>
        <w:t>1</w:t>
      </w:r>
      <w:r>
        <w:rPr>
          <w:sz w:val="20"/>
          <w:szCs w:val="20"/>
        </w:rPr>
        <w:t>5</w:t>
      </w:r>
    </w:p>
    <w:p w:rsidR="00000000" w:rsidRDefault="006D723D">
      <w:pPr>
        <w:divId w:val="1835878194"/>
        <w:rPr>
          <w:rFonts w:eastAsia="Times New Roman"/>
          <w:sz w:val="20"/>
          <w:szCs w:val="20"/>
        </w:rPr>
      </w:pPr>
      <w:r>
        <w:rPr>
          <w:rFonts w:eastAsia="Times New Roman"/>
          <w:sz w:val="20"/>
          <w:szCs w:val="20"/>
        </w:rPr>
        <w:pict>
          <v:rect id="_x0000_i1143" style="width:0;height:1.5pt" o:hralign="center" o:hrstd="t" o:hr="t" fillcolor="#a0a0a0" stroked="f"/>
        </w:pict>
      </w:r>
    </w:p>
    <w:p w:rsidR="00000000" w:rsidRDefault="006D723D">
      <w:pPr>
        <w:pStyle w:val="a3"/>
        <w:spacing w:before="0" w:beforeAutospacing="0" w:after="0" w:afterAutospacing="0"/>
        <w:divId w:val="1835878194"/>
        <w:rPr>
          <w:sz w:val="20"/>
          <w:szCs w:val="20"/>
        </w:rPr>
      </w:pPr>
      <w:r>
        <w:rPr>
          <w:sz w:val="20"/>
          <w:szCs w:val="20"/>
        </w:rPr>
        <w:t> </w:t>
      </w:r>
    </w:p>
    <w:p w:rsidR="00000000" w:rsidRDefault="006D723D">
      <w:pPr>
        <w:pStyle w:val="a3"/>
        <w:spacing w:before="240" w:beforeAutospacing="0" w:after="0" w:afterAutospacing="0"/>
        <w:ind w:left="476"/>
        <w:jc w:val="both"/>
        <w:divId w:val="1957060040"/>
        <w:rPr>
          <w:sz w:val="20"/>
          <w:szCs w:val="20"/>
        </w:rPr>
      </w:pPr>
      <w:r>
        <w:rPr>
          <w:sz w:val="20"/>
          <w:szCs w:val="20"/>
        </w:rPr>
        <w:t>Property and equipment, at cost, consists of the following (</w:t>
      </w:r>
      <w:r>
        <w:rPr>
          <w:sz w:val="20"/>
          <w:szCs w:val="20"/>
        </w:rPr>
        <w:t>in thousands)</w:t>
      </w:r>
      <w:r>
        <w:rPr>
          <w:sz w:val="20"/>
          <w:szCs w:val="20"/>
        </w:rPr>
        <w:t>:</w:t>
      </w:r>
    </w:p>
    <w:p w:rsidR="00000000" w:rsidRDefault="006D723D">
      <w:pPr>
        <w:pStyle w:val="a3"/>
        <w:spacing w:before="0" w:beforeAutospacing="0" w:after="0" w:afterAutospacing="0"/>
        <w:jc w:val="both"/>
        <w:divId w:val="1957060040"/>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151"/>
        <w:gridCol w:w="110"/>
        <w:gridCol w:w="160"/>
        <w:gridCol w:w="927"/>
        <w:gridCol w:w="127"/>
        <w:gridCol w:w="110"/>
        <w:gridCol w:w="160"/>
        <w:gridCol w:w="927"/>
        <w:gridCol w:w="142"/>
      </w:tblGrid>
      <w:tr w:rsidR="00000000">
        <w:trPr>
          <w:divId w:val="1957060040"/>
          <w:tblCellSpacing w:w="15" w:type="dxa"/>
        </w:trPr>
        <w:tc>
          <w:tcPr>
            <w:tcW w:w="3238" w:type="pct"/>
            <w:vAlign w:val="center"/>
            <w:hideMark/>
          </w:tcPr>
          <w:p w:rsidR="00000000" w:rsidRDefault="006D723D">
            <w:pPr>
              <w:rPr>
                <w:sz w:val="20"/>
                <w:szCs w:val="20"/>
              </w:rPr>
            </w:pPr>
          </w:p>
        </w:tc>
        <w:tc>
          <w:tcPr>
            <w:tcW w:w="70"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717"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70"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70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divId w:val="1957060040"/>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6D723D">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1957060040"/>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1957060040"/>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Land and improvement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238,70</w:t>
            </w:r>
            <w:r>
              <w:rPr>
                <w:b/>
                <w:bCs/>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247,52</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957060040"/>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Buildings and improvement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3,115,10</w:t>
            </w:r>
            <w:r>
              <w:rPr>
                <w:b/>
                <w:bCs/>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3,175,09</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957060040"/>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Equipment and softwar</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445,65</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436,83</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957060040"/>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Office furniture and fixture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38,52</w:t>
            </w:r>
            <w:r>
              <w:rPr>
                <w:b/>
                <w:bCs/>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38,25</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957060040"/>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Construction in progres</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54,39</w:t>
            </w:r>
            <w:r>
              <w:rPr>
                <w:b/>
                <w:bCs/>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43,26</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957060040"/>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3,892,38</w:t>
            </w:r>
            <w:r>
              <w:rPr>
                <w:b/>
                <w:bCs/>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3,940,96</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957060040"/>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Less: Accumulated depreciatio</w:t>
            </w:r>
            <w:r>
              <w:rPr>
                <w:sz w:val="20"/>
                <w:szCs w:val="20"/>
              </w:rPr>
              <w:t>n</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1,716,28</w:t>
            </w:r>
            <w:r>
              <w:rPr>
                <w:b/>
                <w:bCs/>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1,657,70</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divId w:val="1957060040"/>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2,176,09</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2,283,25</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bl>
    <w:p w:rsidR="00000000" w:rsidRDefault="006D723D">
      <w:pPr>
        <w:pStyle w:val="a3"/>
        <w:spacing w:before="0" w:beforeAutospacing="0" w:after="0" w:afterAutospacing="0"/>
        <w:jc w:val="both"/>
        <w:divId w:val="1835878194"/>
        <w:rPr>
          <w:sz w:val="20"/>
          <w:szCs w:val="20"/>
        </w:rPr>
      </w:pPr>
      <w:r>
        <w:rPr>
          <w:sz w:val="20"/>
          <w:szCs w:val="20"/>
        </w:rPr>
        <w:t> </w:t>
      </w:r>
    </w:p>
    <w:p w:rsidR="00000000" w:rsidRDefault="006D723D">
      <w:pPr>
        <w:pStyle w:val="a3"/>
        <w:spacing w:before="40" w:beforeAutospacing="0" w:after="0" w:afterAutospacing="0"/>
        <w:ind w:left="476"/>
        <w:jc w:val="both"/>
        <w:divId w:val="1835878194"/>
        <w:rPr>
          <w:sz w:val="20"/>
          <w:szCs w:val="20"/>
        </w:rPr>
      </w:pPr>
      <w:r>
        <w:rPr>
          <w:sz w:val="20"/>
          <w:szCs w:val="20"/>
        </w:rPr>
        <w:t xml:space="preserve">Construction in progress primarily consists of property improvements in process. Interest is capitalized on construction in progress and amounted to </w:t>
      </w:r>
      <w:r>
        <w:rPr>
          <w:sz w:val="20"/>
          <w:szCs w:val="20"/>
        </w:rPr>
        <w:t>$</w:t>
      </w:r>
      <w:r>
        <w:rPr>
          <w:sz w:val="20"/>
          <w:szCs w:val="20"/>
        </w:rPr>
        <w:t>1.</w:t>
      </w:r>
      <w:r>
        <w:rPr>
          <w:sz w:val="20"/>
          <w:szCs w:val="20"/>
        </w:rPr>
        <w:t>0</w:t>
      </w:r>
      <w:r>
        <w:rPr>
          <w:sz w:val="20"/>
          <w:szCs w:val="20"/>
        </w:rPr>
        <w:t xml:space="preserve"> million, </w:t>
      </w:r>
      <w:r>
        <w:rPr>
          <w:sz w:val="20"/>
          <w:szCs w:val="20"/>
        </w:rPr>
        <w:t>$</w:t>
      </w:r>
      <w:r>
        <w:rPr>
          <w:sz w:val="20"/>
          <w:szCs w:val="20"/>
        </w:rPr>
        <w:t>0.</w:t>
      </w:r>
      <w:r>
        <w:rPr>
          <w:sz w:val="20"/>
          <w:szCs w:val="20"/>
        </w:rPr>
        <w:t>4</w:t>
      </w:r>
      <w:r>
        <w:rPr>
          <w:sz w:val="20"/>
          <w:szCs w:val="20"/>
        </w:rPr>
        <w:t xml:space="preserve"> million, and </w:t>
      </w:r>
      <w:r>
        <w:rPr>
          <w:sz w:val="20"/>
          <w:szCs w:val="20"/>
        </w:rPr>
        <w:t>$</w:t>
      </w:r>
      <w:r>
        <w:rPr>
          <w:sz w:val="20"/>
          <w:szCs w:val="20"/>
        </w:rPr>
        <w:t>0.</w:t>
      </w:r>
      <w:r>
        <w:rPr>
          <w:sz w:val="20"/>
          <w:szCs w:val="20"/>
        </w:rPr>
        <w:t>5</w:t>
      </w:r>
      <w:r>
        <w:rPr>
          <w:sz w:val="20"/>
          <w:szCs w:val="20"/>
        </w:rPr>
        <w:t xml:space="preserve"> million in 2022, 2021, and 2020, respectively</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1835878194"/>
        <w:rPr>
          <w:sz w:val="20"/>
          <w:szCs w:val="20"/>
        </w:rPr>
      </w:pPr>
      <w:r>
        <w:rPr>
          <w:sz w:val="20"/>
          <w:szCs w:val="20"/>
        </w:rPr>
        <w:t>Depreciation expense w</w:t>
      </w:r>
      <w:r>
        <w:rPr>
          <w:sz w:val="20"/>
          <w:szCs w:val="20"/>
        </w:rPr>
        <w:t xml:space="preserve">as </w:t>
      </w:r>
      <w:r>
        <w:rPr>
          <w:sz w:val="20"/>
          <w:szCs w:val="20"/>
        </w:rPr>
        <w:t>$</w:t>
      </w:r>
      <w:r>
        <w:rPr>
          <w:sz w:val="20"/>
          <w:szCs w:val="20"/>
        </w:rPr>
        <w:t>126.</w:t>
      </w:r>
      <w:r>
        <w:rPr>
          <w:sz w:val="20"/>
          <w:szCs w:val="20"/>
        </w:rPr>
        <w:t>7</w:t>
      </w:r>
      <w:r>
        <w:rPr>
          <w:sz w:val="20"/>
          <w:szCs w:val="20"/>
        </w:rPr>
        <w:t xml:space="preserve"> million, </w:t>
      </w:r>
      <w:r>
        <w:rPr>
          <w:sz w:val="20"/>
          <w:szCs w:val="20"/>
        </w:rPr>
        <w:t>$</w:t>
      </w:r>
      <w:r>
        <w:rPr>
          <w:sz w:val="20"/>
          <w:szCs w:val="20"/>
        </w:rPr>
        <w:t>132.</w:t>
      </w:r>
      <w:r>
        <w:rPr>
          <w:sz w:val="20"/>
          <w:szCs w:val="20"/>
        </w:rPr>
        <w:t>9</w:t>
      </w:r>
      <w:r>
        <w:rPr>
          <w:sz w:val="20"/>
          <w:szCs w:val="20"/>
        </w:rPr>
        <w:t xml:space="preserve"> million, and </w:t>
      </w:r>
      <w:r>
        <w:rPr>
          <w:sz w:val="20"/>
          <w:szCs w:val="20"/>
        </w:rPr>
        <w:t>$</w:t>
      </w:r>
      <w:r>
        <w:rPr>
          <w:sz w:val="20"/>
          <w:szCs w:val="20"/>
        </w:rPr>
        <w:t>141.</w:t>
      </w:r>
      <w:r>
        <w:rPr>
          <w:sz w:val="20"/>
          <w:szCs w:val="20"/>
        </w:rPr>
        <w:t>7</w:t>
      </w:r>
      <w:r>
        <w:rPr>
          <w:sz w:val="20"/>
          <w:szCs w:val="20"/>
        </w:rPr>
        <w:t xml:space="preserve"> million for the years ended December 31, 2022, 2021, and 2020, respectively</w:t>
      </w:r>
      <w:r>
        <w:rPr>
          <w:sz w:val="20"/>
          <w:szCs w:val="20"/>
        </w:rPr>
        <w:t>.</w:t>
      </w:r>
    </w:p>
    <w:p w:rsidR="00000000" w:rsidRDefault="006D723D">
      <w:pPr>
        <w:pStyle w:val="a3"/>
        <w:spacing w:before="240" w:beforeAutospacing="0" w:after="360" w:afterAutospacing="0"/>
        <w:ind w:left="476"/>
        <w:jc w:val="both"/>
        <w:divId w:val="1835878194"/>
        <w:rPr>
          <w:sz w:val="20"/>
          <w:szCs w:val="20"/>
        </w:rPr>
      </w:pPr>
      <w:r>
        <w:rPr>
          <w:sz w:val="20"/>
          <w:szCs w:val="20"/>
        </w:rPr>
        <w:t>Ten of the facilities owned by CoreCivic are subject to options that allow various governmental agencies to purchase those facilities</w:t>
      </w:r>
      <w:r>
        <w:rPr>
          <w:sz w:val="20"/>
          <w:szCs w:val="20"/>
        </w:rPr>
        <w:t>. Certain of these options to purchase are based on a depreciated book value while others are based on a fair market value calculation.</w:t>
      </w:r>
      <w:r>
        <w:rPr>
          <w:sz w:val="20"/>
          <w:szCs w:val="20"/>
        </w:rPr>
        <w:t xml:space="preserve"> </w:t>
      </w:r>
      <w:r>
        <w:rPr>
          <w:sz w:val="20"/>
          <w:szCs w:val="20"/>
        </w:rPr>
        <w:t>Fou</w:t>
      </w:r>
      <w:r>
        <w:rPr>
          <w:sz w:val="20"/>
          <w:szCs w:val="20"/>
        </w:rPr>
        <w:t>r</w:t>
      </w:r>
      <w:r>
        <w:rPr>
          <w:sz w:val="20"/>
          <w:szCs w:val="20"/>
        </w:rPr>
        <w:t xml:space="preserve"> of the facilities that are subject to options are accounted for in accordance with ASC 853 and are recorded in othe</w:t>
      </w:r>
      <w:r>
        <w:rPr>
          <w:sz w:val="20"/>
          <w:szCs w:val="20"/>
        </w:rPr>
        <w:t xml:space="preserve">r real estate assets on the consolidated balance sheets, as further described in Note 2. As of December 31, 2022 and 2021, CoreCivic had </w:t>
      </w:r>
      <w:r>
        <w:rPr>
          <w:sz w:val="20"/>
          <w:szCs w:val="20"/>
        </w:rPr>
        <w:t>$</w:t>
      </w:r>
      <w:r>
        <w:rPr>
          <w:sz w:val="20"/>
          <w:szCs w:val="20"/>
        </w:rPr>
        <w:t>208.</w:t>
      </w:r>
      <w:r>
        <w:rPr>
          <w:sz w:val="20"/>
          <w:szCs w:val="20"/>
        </w:rPr>
        <w:t>2</w:t>
      </w:r>
      <w:r>
        <w:rPr>
          <w:sz w:val="20"/>
          <w:szCs w:val="20"/>
        </w:rPr>
        <w:t xml:space="preserve"> million and </w:t>
      </w:r>
      <w:r>
        <w:rPr>
          <w:sz w:val="20"/>
          <w:szCs w:val="20"/>
        </w:rPr>
        <w:t>$</w:t>
      </w:r>
      <w:r>
        <w:rPr>
          <w:sz w:val="20"/>
          <w:szCs w:val="20"/>
        </w:rPr>
        <w:t>218.</w:t>
      </w:r>
      <w:r>
        <w:rPr>
          <w:sz w:val="20"/>
          <w:szCs w:val="20"/>
        </w:rPr>
        <w:t>9</w:t>
      </w:r>
      <w:r>
        <w:rPr>
          <w:sz w:val="20"/>
          <w:szCs w:val="20"/>
        </w:rPr>
        <w:t xml:space="preserve"> million, respectively in other real estate assets, including </w:t>
      </w:r>
      <w:r>
        <w:rPr>
          <w:sz w:val="20"/>
          <w:szCs w:val="20"/>
        </w:rPr>
        <w:t>$</w:t>
      </w:r>
      <w:r>
        <w:rPr>
          <w:sz w:val="20"/>
          <w:szCs w:val="20"/>
        </w:rPr>
        <w:t>136.</w:t>
      </w:r>
      <w:r>
        <w:rPr>
          <w:sz w:val="20"/>
          <w:szCs w:val="20"/>
        </w:rPr>
        <w:t>3</w:t>
      </w:r>
      <w:r>
        <w:rPr>
          <w:sz w:val="20"/>
          <w:szCs w:val="20"/>
        </w:rPr>
        <w:t xml:space="preserve"> million and </w:t>
      </w:r>
      <w:r>
        <w:rPr>
          <w:sz w:val="20"/>
          <w:szCs w:val="20"/>
        </w:rPr>
        <w:t>$</w:t>
      </w:r>
      <w:r>
        <w:rPr>
          <w:sz w:val="20"/>
          <w:szCs w:val="20"/>
        </w:rPr>
        <w:t>140.</w:t>
      </w:r>
      <w:r>
        <w:rPr>
          <w:sz w:val="20"/>
          <w:szCs w:val="20"/>
        </w:rPr>
        <w:t>5</w:t>
      </w:r>
      <w:r>
        <w:rPr>
          <w:sz w:val="20"/>
          <w:szCs w:val="20"/>
        </w:rPr>
        <w:t xml:space="preserve"> millio</w:t>
      </w:r>
      <w:r>
        <w:rPr>
          <w:sz w:val="20"/>
          <w:szCs w:val="20"/>
        </w:rPr>
        <w:t xml:space="preserve">n, respectively, accounted for as a contract cost and </w:t>
      </w:r>
      <w:r>
        <w:rPr>
          <w:sz w:val="20"/>
          <w:szCs w:val="20"/>
        </w:rPr>
        <w:t>$</w:t>
      </w:r>
      <w:r>
        <w:rPr>
          <w:sz w:val="20"/>
          <w:szCs w:val="20"/>
        </w:rPr>
        <w:t>71.</w:t>
      </w:r>
      <w:r>
        <w:rPr>
          <w:sz w:val="20"/>
          <w:szCs w:val="20"/>
        </w:rPr>
        <w:t>9</w:t>
      </w:r>
      <w:r>
        <w:rPr>
          <w:sz w:val="20"/>
          <w:szCs w:val="20"/>
        </w:rPr>
        <w:t xml:space="preserve"> million and </w:t>
      </w:r>
      <w:r>
        <w:rPr>
          <w:sz w:val="20"/>
          <w:szCs w:val="20"/>
        </w:rPr>
        <w:t>$</w:t>
      </w:r>
      <w:r>
        <w:rPr>
          <w:sz w:val="20"/>
          <w:szCs w:val="20"/>
        </w:rPr>
        <w:t>78.</w:t>
      </w:r>
      <w:r>
        <w:rPr>
          <w:sz w:val="20"/>
          <w:szCs w:val="20"/>
        </w:rPr>
        <w:t>4</w:t>
      </w:r>
      <w:r>
        <w:rPr>
          <w:sz w:val="20"/>
          <w:szCs w:val="20"/>
        </w:rPr>
        <w:t xml:space="preserve"> million, respectively, accounted for as costs of fulfilling the related service contract</w:t>
      </w:r>
      <w:r>
        <w:rPr>
          <w:sz w:val="20"/>
          <w:szCs w:val="20"/>
        </w:rPr>
        <w:t>.</w:t>
      </w:r>
      <w:r>
        <w:rPr>
          <w:sz w:val="20"/>
          <w:szCs w:val="20"/>
        </w:rPr>
        <w:t xml:space="preserve"> </w:t>
      </w:r>
    </w:p>
    <w:p w:rsidR="00000000" w:rsidRDefault="006D723D">
      <w:pPr>
        <w:jc w:val="both"/>
        <w:divId w:val="394664850"/>
        <w:rPr>
          <w:rFonts w:eastAsia="Times New Roman"/>
        </w:rPr>
      </w:pPr>
      <w:r>
        <w:rPr>
          <w:rFonts w:eastAsia="Times New Roman"/>
          <w:b/>
          <w:bCs/>
          <w:sz w:val="20"/>
          <w:szCs w:val="20"/>
        </w:rPr>
        <w:t>5</w:t>
      </w:r>
      <w:r>
        <w:rPr>
          <w:rFonts w:eastAsia="Times New Roman"/>
          <w:b/>
          <w:bCs/>
          <w:sz w:val="20"/>
          <w:szCs w:val="20"/>
        </w:rPr>
        <w:t>.</w:t>
      </w:r>
    </w:p>
    <w:p w:rsidR="00000000" w:rsidRDefault="006D723D">
      <w:pPr>
        <w:jc w:val="both"/>
        <w:divId w:val="1413505882"/>
        <w:rPr>
          <w:rFonts w:eastAsia="Times New Roman"/>
        </w:rPr>
      </w:pPr>
      <w:r>
        <w:rPr>
          <w:rFonts w:eastAsia="Times New Roman"/>
          <w:b/>
          <w:bCs/>
          <w:sz w:val="20"/>
          <w:szCs w:val="20"/>
        </w:rPr>
        <w:t>LEASE</w:t>
      </w:r>
      <w:r>
        <w:rPr>
          <w:rFonts w:eastAsia="Times New Roman"/>
          <w:b/>
          <w:bCs/>
          <w:sz w:val="20"/>
          <w:szCs w:val="20"/>
        </w:rPr>
        <w:t>S</w:t>
      </w:r>
    </w:p>
    <w:p w:rsidR="00000000" w:rsidRDefault="006D723D">
      <w:pPr>
        <w:pStyle w:val="a3"/>
        <w:spacing w:before="240" w:beforeAutospacing="0" w:after="0" w:afterAutospacing="0"/>
        <w:ind w:left="476"/>
        <w:jc w:val="both"/>
        <w:divId w:val="893662601"/>
        <w:rPr>
          <w:sz w:val="20"/>
          <w:szCs w:val="20"/>
        </w:rPr>
      </w:pPr>
      <w:r>
        <w:rPr>
          <w:sz w:val="20"/>
          <w:szCs w:val="20"/>
        </w:rPr>
        <w:t>As further described in Note 2, CoreCivic accounts for leases in accordance with ASC 842. CoreCivic leases land and buildings from third-party lessors for multiple properties under operating leases that expire over varying dates through 2032.</w:t>
      </w:r>
      <w:r>
        <w:rPr>
          <w:sz w:val="20"/>
          <w:szCs w:val="20"/>
        </w:rPr>
        <w:t xml:space="preserve"> </w:t>
      </w:r>
      <w:r>
        <w:rPr>
          <w:sz w:val="20"/>
          <w:szCs w:val="20"/>
        </w:rPr>
        <w:t>The ROU asset</w:t>
      </w:r>
      <w:r>
        <w:rPr>
          <w:sz w:val="20"/>
          <w:szCs w:val="20"/>
        </w:rPr>
        <w:t xml:space="preserve"> related to these leases amounted to </w:t>
      </w:r>
      <w:r>
        <w:rPr>
          <w:sz w:val="20"/>
          <w:szCs w:val="20"/>
        </w:rPr>
        <w:t>$</w:t>
      </w:r>
      <w:r>
        <w:rPr>
          <w:sz w:val="20"/>
          <w:szCs w:val="20"/>
        </w:rPr>
        <w:t>145.</w:t>
      </w:r>
      <w:r>
        <w:rPr>
          <w:sz w:val="20"/>
          <w:szCs w:val="20"/>
        </w:rPr>
        <w:t>5</w:t>
      </w:r>
      <w:r>
        <w:rPr>
          <w:sz w:val="20"/>
          <w:szCs w:val="20"/>
        </w:rPr>
        <w:t xml:space="preserve"> million and </w:t>
      </w:r>
      <w:r>
        <w:rPr>
          <w:sz w:val="20"/>
          <w:szCs w:val="20"/>
        </w:rPr>
        <w:t>$</w:t>
      </w:r>
      <w:r>
        <w:rPr>
          <w:sz w:val="20"/>
          <w:szCs w:val="20"/>
        </w:rPr>
        <w:t>170.</w:t>
      </w:r>
      <w:r>
        <w:rPr>
          <w:sz w:val="20"/>
          <w:szCs w:val="20"/>
        </w:rPr>
        <w:t>0</w:t>
      </w:r>
      <w:r>
        <w:rPr>
          <w:sz w:val="20"/>
          <w:szCs w:val="20"/>
        </w:rPr>
        <w:t xml:space="preserve"> million at December 31, 2022 and 2021, respectively, while the current portion of the lease liability amounted to </w:t>
      </w:r>
      <w:r>
        <w:rPr>
          <w:sz w:val="20"/>
          <w:szCs w:val="20"/>
        </w:rPr>
        <w:t>$</w:t>
      </w:r>
      <w:r>
        <w:rPr>
          <w:sz w:val="20"/>
          <w:szCs w:val="20"/>
        </w:rPr>
        <w:t>24.</w:t>
      </w:r>
      <w:r>
        <w:rPr>
          <w:sz w:val="20"/>
          <w:szCs w:val="20"/>
        </w:rPr>
        <w:t>1</w:t>
      </w:r>
      <w:r>
        <w:rPr>
          <w:sz w:val="20"/>
          <w:szCs w:val="20"/>
        </w:rPr>
        <w:t xml:space="preserve"> million and </w:t>
      </w:r>
      <w:r>
        <w:rPr>
          <w:sz w:val="20"/>
          <w:szCs w:val="20"/>
        </w:rPr>
        <w:t>$</w:t>
      </w:r>
      <w:r>
        <w:rPr>
          <w:sz w:val="20"/>
          <w:szCs w:val="20"/>
        </w:rPr>
        <w:t>22.</w:t>
      </w:r>
      <w:r>
        <w:rPr>
          <w:sz w:val="20"/>
          <w:szCs w:val="20"/>
        </w:rPr>
        <w:t>6</w:t>
      </w:r>
      <w:r>
        <w:rPr>
          <w:sz w:val="20"/>
          <w:szCs w:val="20"/>
        </w:rPr>
        <w:t xml:space="preserve"> million and the long-term portion of the liability amou</w:t>
      </w:r>
      <w:r>
        <w:rPr>
          <w:sz w:val="20"/>
          <w:szCs w:val="20"/>
        </w:rPr>
        <w:t xml:space="preserve">nted to </w:t>
      </w:r>
      <w:r>
        <w:rPr>
          <w:sz w:val="20"/>
          <w:szCs w:val="20"/>
        </w:rPr>
        <w:t>$</w:t>
      </w:r>
      <w:r>
        <w:rPr>
          <w:sz w:val="20"/>
          <w:szCs w:val="20"/>
        </w:rPr>
        <w:t>96.</w:t>
      </w:r>
      <w:r>
        <w:rPr>
          <w:sz w:val="20"/>
          <w:szCs w:val="20"/>
        </w:rPr>
        <w:t>9</w:t>
      </w:r>
      <w:r>
        <w:rPr>
          <w:sz w:val="20"/>
          <w:szCs w:val="20"/>
        </w:rPr>
        <w:t xml:space="preserve"> million and </w:t>
      </w:r>
      <w:r>
        <w:rPr>
          <w:sz w:val="20"/>
          <w:szCs w:val="20"/>
        </w:rPr>
        <w:t>$</w:t>
      </w:r>
      <w:r>
        <w:rPr>
          <w:sz w:val="20"/>
          <w:szCs w:val="20"/>
        </w:rPr>
        <w:t>121.</w:t>
      </w:r>
      <w:r>
        <w:rPr>
          <w:sz w:val="20"/>
          <w:szCs w:val="20"/>
        </w:rPr>
        <w:t>3</w:t>
      </w:r>
      <w:r>
        <w:rPr>
          <w:sz w:val="20"/>
          <w:szCs w:val="20"/>
        </w:rPr>
        <w:t xml:space="preserve"> million at December 31, 2022 and 2021, respectively. As of December 31, 2022, the weighted-average lease term of the operating leases was</w:t>
      </w:r>
      <w:r>
        <w:rPr>
          <w:sz w:val="20"/>
          <w:szCs w:val="20"/>
        </w:rPr>
        <w:t xml:space="preserve"> </w:t>
      </w:r>
      <w:r>
        <w:rPr>
          <w:sz w:val="20"/>
          <w:szCs w:val="20"/>
        </w:rPr>
        <w:t>4.</w:t>
      </w:r>
      <w:r>
        <w:rPr>
          <w:sz w:val="20"/>
          <w:szCs w:val="20"/>
        </w:rPr>
        <w:t>4</w:t>
      </w:r>
      <w:r>
        <w:rPr>
          <w:sz w:val="20"/>
          <w:szCs w:val="20"/>
        </w:rPr>
        <w:t xml:space="preserve"> years, and the weighted average discount rate associated with the operating lease</w:t>
      </w:r>
      <w:r>
        <w:rPr>
          <w:sz w:val="20"/>
          <w:szCs w:val="20"/>
        </w:rPr>
        <w:t>s was</w:t>
      </w:r>
      <w:r>
        <w:rPr>
          <w:sz w:val="20"/>
          <w:szCs w:val="20"/>
        </w:rPr>
        <w:t xml:space="preserve"> </w:t>
      </w:r>
      <w:r>
        <w:rPr>
          <w:sz w:val="20"/>
          <w:szCs w:val="20"/>
        </w:rPr>
        <w:t>6.</w:t>
      </w:r>
      <w:r>
        <w:rPr>
          <w:sz w:val="20"/>
          <w:szCs w:val="20"/>
        </w:rPr>
        <w:t>2</w:t>
      </w:r>
      <w:r>
        <w:rPr>
          <w:sz w:val="20"/>
          <w:szCs w:val="20"/>
        </w:rPr>
        <w:t>%</w:t>
      </w:r>
      <w:r>
        <w:rPr>
          <w:sz w:val="20"/>
          <w:szCs w:val="20"/>
        </w:rPr>
        <w:t>.</w:t>
      </w:r>
    </w:p>
    <w:p w:rsidR="00000000" w:rsidRDefault="006D723D">
      <w:pPr>
        <w:pStyle w:val="a3"/>
        <w:spacing w:before="240" w:beforeAutospacing="0" w:after="0" w:afterAutospacing="0"/>
        <w:ind w:left="476"/>
        <w:jc w:val="both"/>
        <w:divId w:val="893662601"/>
        <w:rPr>
          <w:sz w:val="20"/>
          <w:szCs w:val="20"/>
        </w:rPr>
      </w:pPr>
      <w:r>
        <w:rPr>
          <w:sz w:val="20"/>
          <w:szCs w:val="20"/>
        </w:rPr>
        <w:t>CoreCivic leases the South Texas Family Residential Center and the site upon which it was constructed from a third-party lessor.</w:t>
      </w:r>
      <w:r>
        <w:rPr>
          <w:sz w:val="20"/>
          <w:szCs w:val="20"/>
        </w:rPr>
        <w:t xml:space="preserve"> </w:t>
      </w:r>
      <w:r>
        <w:rPr>
          <w:sz w:val="20"/>
          <w:szCs w:val="20"/>
        </w:rPr>
        <w:t>CoreCivic's lease agreement with the lessor is over a base period concurrent with an inter-governmental service agr</w:t>
      </w:r>
      <w:r>
        <w:rPr>
          <w:sz w:val="20"/>
          <w:szCs w:val="20"/>
        </w:rPr>
        <w:t>eement ("IGSA") with ICE, which was amended in September 2020 to extend the term of the agreement through September 2026</w:t>
      </w:r>
      <w:r>
        <w:rPr>
          <w:sz w:val="20"/>
          <w:szCs w:val="20"/>
        </w:rPr>
        <w:t>.</w:t>
      </w:r>
      <w:r>
        <w:rPr>
          <w:sz w:val="20"/>
          <w:szCs w:val="20"/>
        </w:rPr>
        <w:t xml:space="preserve"> ICE's termination rights, which permit ICE to terminate the agreement for convenience or non-appropriation of funds, without penalty, </w:t>
      </w:r>
      <w:r>
        <w:rPr>
          <w:sz w:val="20"/>
          <w:szCs w:val="20"/>
        </w:rPr>
        <w:t>by providing CoreCivic with at least a</w:t>
      </w:r>
      <w:r>
        <w:rPr>
          <w:sz w:val="20"/>
          <w:szCs w:val="20"/>
        </w:rPr>
        <w:t xml:space="preserve"> </w:t>
      </w:r>
      <w:r>
        <w:rPr>
          <w:sz w:val="20"/>
          <w:szCs w:val="20"/>
        </w:rPr>
        <w:t>6</w:t>
      </w:r>
      <w:r>
        <w:rPr>
          <w:sz w:val="20"/>
          <w:szCs w:val="20"/>
        </w:rPr>
        <w:t>0</w:t>
      </w:r>
      <w:r>
        <w:rPr>
          <w:sz w:val="20"/>
          <w:szCs w:val="20"/>
        </w:rPr>
        <w:t>-day notice, were unchanged under the extension. Concurrent with the extension of the amended IGSA, the lease with the third-party lessor for the site was also extended through September 2026. Other terms of the ext</w:t>
      </w:r>
      <w:r>
        <w:rPr>
          <w:sz w:val="20"/>
          <w:szCs w:val="20"/>
        </w:rPr>
        <w:t>ended lease agreement were unchanged and provide CoreCivic with the ability to terminate the lease if ICE terminates the amended IGSA associated with the facility. As a result of the lease modification, the Company re-measured the lease liability at the ef</w:t>
      </w:r>
      <w:r>
        <w:rPr>
          <w:sz w:val="20"/>
          <w:szCs w:val="20"/>
        </w:rPr>
        <w:t xml:space="preserve">fective date of the modification and recognized a corresponding adjustment to increase the ROU asset amounting to </w:t>
      </w:r>
      <w:r>
        <w:rPr>
          <w:sz w:val="20"/>
          <w:szCs w:val="20"/>
        </w:rPr>
        <w:t>$</w:t>
      </w:r>
      <w:r>
        <w:rPr>
          <w:sz w:val="20"/>
          <w:szCs w:val="20"/>
        </w:rPr>
        <w:t>116.</w:t>
      </w:r>
      <w:r>
        <w:rPr>
          <w:sz w:val="20"/>
          <w:szCs w:val="20"/>
        </w:rPr>
        <w:t>0</w:t>
      </w:r>
      <w:r>
        <w:rPr>
          <w:sz w:val="20"/>
          <w:szCs w:val="20"/>
        </w:rPr>
        <w:t xml:space="preserve"> million. Under provisions of ASC 842, CoreCivic determined that the South Texas Family Residential Center lease with the third-party le</w:t>
      </w:r>
      <w:r>
        <w:rPr>
          <w:sz w:val="20"/>
          <w:szCs w:val="20"/>
        </w:rPr>
        <w:t>ssor includes a non-lease component for food services representing approximately</w:t>
      </w:r>
      <w:r>
        <w:rPr>
          <w:sz w:val="20"/>
          <w:szCs w:val="20"/>
        </w:rPr>
        <w:t xml:space="preserve"> </w:t>
      </w:r>
      <w:r>
        <w:rPr>
          <w:sz w:val="20"/>
          <w:szCs w:val="20"/>
        </w:rPr>
        <w:t>4</w:t>
      </w:r>
      <w:r>
        <w:rPr>
          <w:sz w:val="20"/>
          <w:szCs w:val="20"/>
        </w:rPr>
        <w:t>4</w:t>
      </w:r>
      <w:r>
        <w:rPr>
          <w:sz w:val="20"/>
          <w:szCs w:val="20"/>
        </w:rPr>
        <w:t>% of the consideration paid under the lease</w:t>
      </w:r>
      <w:r>
        <w:rPr>
          <w:sz w:val="20"/>
          <w:szCs w:val="20"/>
        </w:rPr>
        <w:t>.</w:t>
      </w:r>
      <w:r>
        <w:rPr>
          <w:sz w:val="20"/>
          <w:szCs w:val="20"/>
        </w:rPr>
        <w:t xml:space="preserve"> </w:t>
      </w:r>
    </w:p>
    <w:p w:rsidR="00000000" w:rsidRDefault="006D723D">
      <w:pPr>
        <w:pStyle w:val="a3"/>
        <w:spacing w:before="0" w:beforeAutospacing="0" w:after="0" w:afterAutospacing="0"/>
        <w:jc w:val="center"/>
        <w:divId w:val="893662601"/>
        <w:rPr>
          <w:sz w:val="20"/>
          <w:szCs w:val="20"/>
        </w:rPr>
      </w:pPr>
      <w:r>
        <w:rPr>
          <w:sz w:val="20"/>
          <w:szCs w:val="20"/>
        </w:rPr>
        <w:t>F</w:t>
      </w:r>
      <w:r>
        <w:rPr>
          <w:sz w:val="20"/>
          <w:szCs w:val="20"/>
        </w:rPr>
        <w:t>-</w:t>
      </w:r>
      <w:r>
        <w:rPr>
          <w:sz w:val="20"/>
          <w:szCs w:val="20"/>
        </w:rPr>
        <w:t>1</w:t>
      </w:r>
      <w:r>
        <w:rPr>
          <w:sz w:val="20"/>
          <w:szCs w:val="20"/>
        </w:rPr>
        <w:t>6</w:t>
      </w:r>
    </w:p>
    <w:p w:rsidR="00000000" w:rsidRDefault="006D723D">
      <w:pPr>
        <w:divId w:val="893662601"/>
        <w:rPr>
          <w:rFonts w:eastAsia="Times New Roman"/>
        </w:rPr>
      </w:pPr>
      <w:r>
        <w:rPr>
          <w:rFonts w:eastAsia="Times New Roman"/>
        </w:rPr>
        <w:pict>
          <v:rect id="_x0000_i1144" style="width:0;height:1.5pt" o:hralign="center" o:hrstd="t" o:hr="t" fillcolor="#a0a0a0" stroked="f"/>
        </w:pict>
      </w:r>
    </w:p>
    <w:p w:rsidR="00000000" w:rsidRDefault="006D723D">
      <w:pPr>
        <w:pStyle w:val="a3"/>
        <w:spacing w:before="0" w:beforeAutospacing="0" w:after="0" w:afterAutospacing="0"/>
        <w:divId w:val="893662601"/>
        <w:rPr>
          <w:sz w:val="20"/>
          <w:szCs w:val="20"/>
        </w:rPr>
      </w:pPr>
      <w:r>
        <w:rPr>
          <w:sz w:val="20"/>
          <w:szCs w:val="20"/>
        </w:rPr>
        <w:t> </w:t>
      </w:r>
    </w:p>
    <w:p w:rsidR="00000000" w:rsidRDefault="006D723D">
      <w:pPr>
        <w:pStyle w:val="a3"/>
        <w:spacing w:before="240" w:beforeAutospacing="0" w:after="0" w:afterAutospacing="0"/>
        <w:ind w:left="476"/>
        <w:jc w:val="both"/>
        <w:divId w:val="418798511"/>
        <w:rPr>
          <w:sz w:val="20"/>
          <w:szCs w:val="20"/>
        </w:rPr>
      </w:pPr>
      <w:r>
        <w:rPr>
          <w:sz w:val="20"/>
          <w:szCs w:val="20"/>
        </w:rPr>
        <w:t xml:space="preserve">The expense incurred for all operating leases, inclusive of short-term and variable </w:t>
      </w:r>
      <w:r>
        <w:rPr>
          <w:sz w:val="20"/>
          <w:szCs w:val="20"/>
        </w:rPr>
        <w:t xml:space="preserve">leases, but exclusive of the non-lease food services component of the South Texas Family Residential Center lease, was </w:t>
      </w:r>
      <w:r>
        <w:rPr>
          <w:sz w:val="20"/>
          <w:szCs w:val="20"/>
        </w:rPr>
        <w:t>$</w:t>
      </w:r>
      <w:r>
        <w:rPr>
          <w:sz w:val="20"/>
          <w:szCs w:val="20"/>
        </w:rPr>
        <w:t>34.</w:t>
      </w:r>
      <w:r>
        <w:rPr>
          <w:sz w:val="20"/>
          <w:szCs w:val="20"/>
        </w:rPr>
        <w:t>2</w:t>
      </w:r>
      <w:r>
        <w:rPr>
          <w:sz w:val="20"/>
          <w:szCs w:val="20"/>
        </w:rPr>
        <w:t xml:space="preserve"> million, </w:t>
      </w:r>
      <w:r>
        <w:rPr>
          <w:sz w:val="20"/>
          <w:szCs w:val="20"/>
        </w:rPr>
        <w:t>$</w:t>
      </w:r>
      <w:r>
        <w:rPr>
          <w:sz w:val="20"/>
          <w:szCs w:val="20"/>
        </w:rPr>
        <w:t>34.</w:t>
      </w:r>
      <w:r>
        <w:rPr>
          <w:sz w:val="20"/>
          <w:szCs w:val="20"/>
        </w:rPr>
        <w:t>6</w:t>
      </w:r>
      <w:r>
        <w:rPr>
          <w:sz w:val="20"/>
          <w:szCs w:val="20"/>
        </w:rPr>
        <w:t xml:space="preserve"> million, and </w:t>
      </w:r>
      <w:r>
        <w:rPr>
          <w:sz w:val="20"/>
          <w:szCs w:val="20"/>
        </w:rPr>
        <w:t>$</w:t>
      </w:r>
      <w:r>
        <w:rPr>
          <w:sz w:val="20"/>
          <w:szCs w:val="20"/>
        </w:rPr>
        <w:t>34.</w:t>
      </w:r>
      <w:r>
        <w:rPr>
          <w:sz w:val="20"/>
          <w:szCs w:val="20"/>
        </w:rPr>
        <w:t>9</w:t>
      </w:r>
      <w:r>
        <w:rPr>
          <w:sz w:val="20"/>
          <w:szCs w:val="20"/>
        </w:rPr>
        <w:t xml:space="preserve"> million for the years ended December 31, 2022, 2021, and 2020, respectively. The cash payments fo</w:t>
      </w:r>
      <w:r>
        <w:rPr>
          <w:sz w:val="20"/>
          <w:szCs w:val="20"/>
        </w:rPr>
        <w:t>r operating leases are reflected as cash flows from operating activities on the accompanying consolidated statements of cash flows and cash payments for financing leases are reflected as cash flows from financing activities. Future minimum lease payments a</w:t>
      </w:r>
      <w:r>
        <w:rPr>
          <w:sz w:val="20"/>
          <w:szCs w:val="20"/>
        </w:rPr>
        <w:t xml:space="preserve">s of December 31, 2022 for the Company's operating lease liabilities, inclusive of </w:t>
      </w:r>
      <w:r>
        <w:rPr>
          <w:sz w:val="20"/>
          <w:szCs w:val="20"/>
        </w:rPr>
        <w:t>$</w:t>
      </w:r>
      <w:r>
        <w:rPr>
          <w:sz w:val="20"/>
          <w:szCs w:val="20"/>
        </w:rPr>
        <w:t>107.</w:t>
      </w:r>
      <w:r>
        <w:rPr>
          <w:sz w:val="20"/>
          <w:szCs w:val="20"/>
        </w:rPr>
        <w:t>8</w:t>
      </w:r>
      <w:r>
        <w:rPr>
          <w:sz w:val="20"/>
          <w:szCs w:val="20"/>
        </w:rPr>
        <w:t xml:space="preserve"> million of payments expected to be made under the cancelable lease at the South Texas facility (excluding the non-lease food services component), are as follows (in t</w:t>
      </w:r>
      <w:r>
        <w:rPr>
          <w:sz w:val="20"/>
          <w:szCs w:val="20"/>
        </w:rPr>
        <w:t>housands)</w:t>
      </w:r>
      <w:r>
        <w:rPr>
          <w:sz w:val="20"/>
          <w:szCs w:val="20"/>
        </w:rPr>
        <w:t>:</w:t>
      </w:r>
      <w:r>
        <w:rPr>
          <w:sz w:val="20"/>
          <w:szCs w:val="20"/>
        </w:rPr>
        <w:t xml:space="preserve"> </w:t>
      </w:r>
    </w:p>
    <w:p w:rsidR="00000000" w:rsidRDefault="006D723D">
      <w:pPr>
        <w:pStyle w:val="a3"/>
        <w:spacing w:before="0" w:beforeAutospacing="0" w:after="0" w:afterAutospacing="0"/>
        <w:jc w:val="both"/>
        <w:divId w:val="418798511"/>
        <w:rPr>
          <w:sz w:val="20"/>
          <w:szCs w:val="20"/>
        </w:rPr>
      </w:pPr>
      <w:r>
        <w:rPr>
          <w:sz w:val="10"/>
          <w:szCs w:val="10"/>
        </w:rPr>
        <w:t> </w:t>
      </w:r>
    </w:p>
    <w:p w:rsidR="00000000" w:rsidRDefault="006D723D">
      <w:pPr>
        <w:pStyle w:val="a3"/>
        <w:spacing w:before="0" w:beforeAutospacing="0" w:after="0" w:afterAutospacing="0"/>
        <w:jc w:val="both"/>
        <w:divId w:val="418798511"/>
        <w:rPr>
          <w:sz w:val="20"/>
          <w:szCs w:val="20"/>
        </w:rPr>
      </w:pPr>
      <w:r>
        <w:rPr>
          <w:sz w:val="10"/>
          <w:szCs w:val="1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832"/>
        <w:gridCol w:w="110"/>
        <w:gridCol w:w="160"/>
        <w:gridCol w:w="740"/>
        <w:gridCol w:w="142"/>
      </w:tblGrid>
      <w:tr w:rsidR="00000000">
        <w:trPr>
          <w:divId w:val="418798511"/>
          <w:tblCellSpacing w:w="15" w:type="dxa"/>
        </w:trPr>
        <w:tc>
          <w:tcPr>
            <w:tcW w:w="3986" w:type="pct"/>
            <w:vAlign w:val="center"/>
            <w:hideMark/>
          </w:tcPr>
          <w:p w:rsidR="00000000" w:rsidRDefault="006D723D">
            <w:pPr>
              <w:rPr>
                <w:sz w:val="20"/>
                <w:szCs w:val="20"/>
              </w:rPr>
            </w:pPr>
          </w:p>
        </w:tc>
        <w:tc>
          <w:tcPr>
            <w:tcW w:w="8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82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divId w:val="418798511"/>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202</w:t>
            </w:r>
            <w:r>
              <w:rPr>
                <w:sz w:val="20"/>
                <w:szCs w:val="20"/>
              </w:rPr>
              <w:t>3</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32,95</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418798511"/>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202</w:t>
            </w:r>
            <w:r>
              <w:rPr>
                <w:sz w:val="20"/>
                <w:szCs w:val="20"/>
              </w:rPr>
              <w:t>4</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32,83</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418798511"/>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202</w:t>
            </w:r>
            <w:r>
              <w:rPr>
                <w:sz w:val="20"/>
                <w:szCs w:val="20"/>
              </w:rPr>
              <w:t>5</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32,70</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418798511"/>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202</w:t>
            </w:r>
            <w:r>
              <w:rPr>
                <w:sz w:val="20"/>
                <w:szCs w:val="20"/>
              </w:rPr>
              <w:t>6</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25,21</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418798511"/>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202</w:t>
            </w:r>
            <w:r>
              <w:rPr>
                <w:sz w:val="20"/>
                <w:szCs w:val="20"/>
              </w:rPr>
              <w:t>7</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3,01</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418798511"/>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Thereafte</w:t>
            </w:r>
            <w:r>
              <w:rPr>
                <w:sz w:val="20"/>
                <w:szCs w:val="20"/>
              </w:rPr>
              <w:t>r</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11,60</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418798511"/>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Total future minimum lease payment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138,33</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418798511"/>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Less amount representing interes</w:t>
            </w:r>
            <w:r>
              <w:rPr>
                <w:sz w:val="20"/>
                <w:szCs w:val="20"/>
              </w:rPr>
              <w:t>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17,32</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divId w:val="418798511"/>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Total present value of minimum lease payment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121,01</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bl>
    <w:p w:rsidR="00000000" w:rsidRDefault="006D723D">
      <w:pPr>
        <w:pStyle w:val="a3"/>
        <w:spacing w:before="0" w:beforeAutospacing="0" w:after="0" w:afterAutospacing="0"/>
        <w:jc w:val="both"/>
        <w:divId w:val="893662601"/>
        <w:rPr>
          <w:sz w:val="20"/>
          <w:szCs w:val="20"/>
        </w:rPr>
      </w:pPr>
      <w:r>
        <w:rPr>
          <w:sz w:val="20"/>
          <w:szCs w:val="20"/>
        </w:rPr>
        <w:t> </w:t>
      </w:r>
    </w:p>
    <w:p w:rsidR="00000000" w:rsidRDefault="006D723D">
      <w:pPr>
        <w:pStyle w:val="a3"/>
        <w:spacing w:before="240" w:beforeAutospacing="0" w:after="0" w:afterAutospacing="0"/>
        <w:ind w:left="476"/>
        <w:jc w:val="both"/>
        <w:divId w:val="893662601"/>
        <w:rPr>
          <w:sz w:val="20"/>
          <w:szCs w:val="20"/>
        </w:rPr>
      </w:pPr>
      <w:r>
        <w:rPr>
          <w:sz w:val="20"/>
          <w:szCs w:val="20"/>
        </w:rPr>
        <w:t xml:space="preserve">In addition, through its CoreCivic Properties segment, as of December 31, 2022, the Company owned </w:t>
      </w:r>
      <w:r>
        <w:rPr>
          <w:sz w:val="20"/>
          <w:szCs w:val="20"/>
        </w:rPr>
        <w:t>$</w:t>
      </w:r>
      <w:r>
        <w:rPr>
          <w:sz w:val="20"/>
          <w:szCs w:val="20"/>
        </w:rPr>
        <w:t>198.</w:t>
      </w:r>
      <w:r>
        <w:rPr>
          <w:sz w:val="20"/>
          <w:szCs w:val="20"/>
        </w:rPr>
        <w:t>3</w:t>
      </w:r>
      <w:r>
        <w:rPr>
          <w:sz w:val="20"/>
          <w:szCs w:val="20"/>
        </w:rPr>
        <w:t xml:space="preserve"> million in property and equipment at</w:t>
      </w:r>
      <w:r>
        <w:rPr>
          <w:sz w:val="20"/>
          <w:szCs w:val="20"/>
        </w:rPr>
        <w:t xml:space="preserve"> </w:t>
      </w:r>
      <w:r>
        <w:rPr>
          <w:sz w:val="20"/>
          <w:szCs w:val="20"/>
        </w:rPr>
        <w:t>8</w:t>
      </w:r>
      <w:r>
        <w:rPr>
          <w:sz w:val="20"/>
          <w:szCs w:val="20"/>
        </w:rPr>
        <w:t xml:space="preserve"> properties leased to government agencies under operating and finance leases that expire over varying dates throu</w:t>
      </w:r>
      <w:r>
        <w:rPr>
          <w:sz w:val="20"/>
          <w:szCs w:val="20"/>
        </w:rPr>
        <w:t>gh</w:t>
      </w:r>
      <w:r>
        <w:rPr>
          <w:sz w:val="20"/>
          <w:szCs w:val="20"/>
        </w:rPr>
        <w:t xml:space="preserve"> </w:t>
      </w:r>
      <w:r>
        <w:rPr>
          <w:sz w:val="20"/>
          <w:szCs w:val="20"/>
        </w:rPr>
        <w:t>204</w:t>
      </w:r>
      <w:r>
        <w:rPr>
          <w:sz w:val="20"/>
          <w:szCs w:val="20"/>
        </w:rPr>
        <w:t>0</w:t>
      </w:r>
      <w:r>
        <w:rPr>
          <w:sz w:val="20"/>
          <w:szCs w:val="20"/>
        </w:rPr>
        <w:t xml:space="preserve">, some of which contain renewal options. In accordance with ASC 842, minimum lease revenue is recognized on a straight-line basis over the term of the related lease. Lease incentives are recognized as a reduction to lease revenue on a straight-line </w:t>
      </w:r>
      <w:r>
        <w:rPr>
          <w:sz w:val="20"/>
          <w:szCs w:val="20"/>
        </w:rPr>
        <w:t>basis over the term of the related lease. Lease revenue associated with expense reimbursements from tenants is recognized in the period that the related expenses are incurred based upon the tenant lease provision. See Note 6 for further discussion regardin</w:t>
      </w:r>
      <w:r>
        <w:rPr>
          <w:sz w:val="20"/>
          <w:szCs w:val="20"/>
        </w:rPr>
        <w:t>g a</w:t>
      </w:r>
      <w:r>
        <w:rPr>
          <w:sz w:val="20"/>
          <w:szCs w:val="20"/>
        </w:rPr>
        <w:t xml:space="preserve"> </w:t>
      </w:r>
      <w:r>
        <w:rPr>
          <w:sz w:val="20"/>
          <w:szCs w:val="20"/>
        </w:rPr>
        <w:t>2</w:t>
      </w:r>
      <w:r>
        <w:rPr>
          <w:sz w:val="20"/>
          <w:szCs w:val="20"/>
        </w:rPr>
        <w:t>0</w:t>
      </w:r>
      <w:r>
        <w:rPr>
          <w:sz w:val="20"/>
          <w:szCs w:val="20"/>
        </w:rPr>
        <w:t>-year lease agreement with the Kansas Department of Corrections ("KDOC").</w:t>
      </w:r>
      <w:r>
        <w:rPr>
          <w:sz w:val="20"/>
          <w:szCs w:val="20"/>
        </w:rPr>
        <w:t xml:space="preserve"> </w:t>
      </w:r>
      <w:r>
        <w:rPr>
          <w:sz w:val="20"/>
          <w:szCs w:val="20"/>
        </w:rPr>
        <w:t>Future undiscounted cash flows to be received from third-party lessees as of December 31, 2022 for the Company's operating and finance leases are as follows (in thousands):</w:t>
      </w:r>
      <w:r>
        <w:rPr>
          <w:sz w:val="20"/>
          <w:szCs w:val="20"/>
        </w:rPr>
        <w:t xml:space="preserve"> </w:t>
      </w:r>
    </w:p>
    <w:p w:rsidR="00000000" w:rsidRDefault="006D723D">
      <w:pPr>
        <w:pStyle w:val="a3"/>
        <w:spacing w:before="240" w:beforeAutospacing="0" w:after="0" w:afterAutospacing="0"/>
        <w:ind w:left="476"/>
        <w:jc w:val="both"/>
        <w:divId w:val="335814823"/>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5193"/>
        <w:gridCol w:w="137"/>
        <w:gridCol w:w="160"/>
        <w:gridCol w:w="1030"/>
        <w:gridCol w:w="125"/>
      </w:tblGrid>
      <w:tr w:rsidR="00000000">
        <w:trPr>
          <w:divId w:val="335814823"/>
          <w:tblCellSpacing w:w="15" w:type="dxa"/>
        </w:trPr>
        <w:tc>
          <w:tcPr>
            <w:tcW w:w="4001" w:type="pct"/>
            <w:vAlign w:val="center"/>
            <w:hideMark/>
          </w:tcPr>
          <w:p w:rsidR="00000000" w:rsidRDefault="006D723D">
            <w:pPr>
              <w:rPr>
                <w:sz w:val="20"/>
                <w:szCs w:val="20"/>
              </w:rPr>
            </w:pPr>
          </w:p>
        </w:tc>
        <w:tc>
          <w:tcPr>
            <w:tcW w:w="10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79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divId w:val="335814823"/>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202</w:t>
            </w:r>
            <w:r>
              <w:rPr>
                <w:sz w:val="20"/>
                <w:szCs w:val="20"/>
              </w:rPr>
              <w:t>3</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62,84</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335814823"/>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202</w:t>
            </w:r>
            <w:r>
              <w:rPr>
                <w:sz w:val="20"/>
                <w:szCs w:val="20"/>
              </w:rPr>
              <w:t>4</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31,78</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335814823"/>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202</w:t>
            </w:r>
            <w:r>
              <w:rPr>
                <w:sz w:val="20"/>
                <w:szCs w:val="20"/>
              </w:rPr>
              <w:t>5</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20,61</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335814823"/>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202</w:t>
            </w:r>
            <w:r>
              <w:rPr>
                <w:sz w:val="20"/>
                <w:szCs w:val="20"/>
              </w:rPr>
              <w:t>6</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21,04</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335814823"/>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202</w:t>
            </w:r>
            <w:r>
              <w:rPr>
                <w:sz w:val="20"/>
                <w:szCs w:val="20"/>
              </w:rPr>
              <w:t>7</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21,47</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335814823"/>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Thereafte</w:t>
            </w:r>
            <w:r>
              <w:rPr>
                <w:sz w:val="20"/>
                <w:szCs w:val="20"/>
              </w:rPr>
              <w:t>r</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246,50</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bl>
    <w:p w:rsidR="00000000" w:rsidRDefault="006D723D">
      <w:pPr>
        <w:pStyle w:val="a3"/>
        <w:spacing w:before="0" w:beforeAutospacing="0" w:after="0" w:afterAutospacing="0"/>
        <w:ind w:left="476"/>
        <w:jc w:val="both"/>
        <w:rPr>
          <w:sz w:val="20"/>
          <w:szCs w:val="20"/>
        </w:rPr>
      </w:pPr>
      <w:r>
        <w:rPr>
          <w:sz w:val="20"/>
          <w:szCs w:val="20"/>
        </w:rPr>
        <w:t> </w:t>
      </w:r>
    </w:p>
    <w:p w:rsidR="00000000" w:rsidRDefault="006D723D">
      <w:pPr>
        <w:jc w:val="both"/>
        <w:divId w:val="1120609137"/>
        <w:rPr>
          <w:rFonts w:eastAsia="Times New Roman"/>
        </w:rPr>
      </w:pPr>
      <w:r>
        <w:rPr>
          <w:rFonts w:eastAsia="Times New Roman"/>
          <w:b/>
          <w:bCs/>
          <w:sz w:val="20"/>
          <w:szCs w:val="20"/>
        </w:rPr>
        <w:t>6</w:t>
      </w:r>
      <w:r>
        <w:rPr>
          <w:rFonts w:eastAsia="Times New Roman"/>
          <w:b/>
          <w:bCs/>
          <w:sz w:val="20"/>
          <w:szCs w:val="20"/>
        </w:rPr>
        <w:t>.</w:t>
      </w:r>
    </w:p>
    <w:p w:rsidR="00000000" w:rsidRDefault="006D723D">
      <w:pPr>
        <w:jc w:val="both"/>
        <w:divId w:val="1876499910"/>
        <w:rPr>
          <w:rFonts w:eastAsia="Times New Roman"/>
        </w:rPr>
      </w:pPr>
      <w:r>
        <w:rPr>
          <w:rFonts w:eastAsia="Times New Roman"/>
          <w:b/>
          <w:bCs/>
          <w:sz w:val="20"/>
          <w:szCs w:val="20"/>
        </w:rPr>
        <w:t>REAL ESTATE TRANSACTION</w:t>
      </w:r>
      <w:r>
        <w:rPr>
          <w:rFonts w:eastAsia="Times New Roman"/>
          <w:b/>
          <w:bCs/>
          <w:sz w:val="20"/>
          <w:szCs w:val="20"/>
        </w:rPr>
        <w:t>S</w:t>
      </w:r>
    </w:p>
    <w:p w:rsidR="00000000" w:rsidRDefault="006D723D">
      <w:pPr>
        <w:pStyle w:val="a3"/>
        <w:spacing w:before="120" w:beforeAutospacing="0" w:after="0" w:afterAutospacing="0"/>
        <w:ind w:left="476"/>
        <w:jc w:val="both"/>
        <w:divId w:val="1584993884"/>
        <w:rPr>
          <w:sz w:val="20"/>
          <w:szCs w:val="20"/>
        </w:rPr>
      </w:pPr>
      <w:r>
        <w:rPr>
          <w:b/>
          <w:bCs/>
          <w:sz w:val="20"/>
          <w:szCs w:val="20"/>
        </w:rPr>
        <w:t>Assets Held For Sale, Acquisitions, and Disposition</w:t>
      </w:r>
      <w:r>
        <w:rPr>
          <w:b/>
          <w:bCs/>
          <w:sz w:val="20"/>
          <w:szCs w:val="20"/>
        </w:rPr>
        <w:t>s</w:t>
      </w:r>
    </w:p>
    <w:p w:rsidR="00000000" w:rsidRDefault="006D723D">
      <w:pPr>
        <w:pStyle w:val="a3"/>
        <w:spacing w:before="120" w:beforeAutospacing="0" w:after="0" w:afterAutospacing="0"/>
        <w:ind w:left="476"/>
        <w:jc w:val="both"/>
        <w:divId w:val="1584993884"/>
        <w:rPr>
          <w:sz w:val="20"/>
          <w:szCs w:val="20"/>
        </w:rPr>
      </w:pPr>
      <w:r>
        <w:rPr>
          <w:sz w:val="20"/>
          <w:szCs w:val="20"/>
        </w:rPr>
        <w:t>During t</w:t>
      </w:r>
      <w:r>
        <w:rPr>
          <w:sz w:val="20"/>
          <w:szCs w:val="20"/>
        </w:rPr>
        <w:t>h</w:t>
      </w:r>
      <w:r>
        <w:rPr>
          <w:sz w:val="20"/>
          <w:szCs w:val="20"/>
        </w:rPr>
        <w:t>e third quarter of 2022, CoreCivic began marketing for sale its Roth Hall Residential Reentry Center and the Walker Hall Residential Reentry Center, both of which are located in Philadelphia, Pe</w:t>
      </w:r>
      <w:r>
        <w:rPr>
          <w:sz w:val="20"/>
          <w:szCs w:val="20"/>
        </w:rPr>
        <w:t>nnsylvania and reported in CoreCivic's Properties segment. Several third parties have expressed an interest in purchasing the properties, and CoreCivic believes it will be able to sell these properties within the next twelve months and, therefore, has clas</w:t>
      </w:r>
      <w:r>
        <w:rPr>
          <w:sz w:val="20"/>
          <w:szCs w:val="20"/>
        </w:rPr>
        <w:t xml:space="preserve">sified them as held for sale as of December 31, 2022. The net book value of these properties is </w:t>
      </w:r>
      <w:r>
        <w:rPr>
          <w:sz w:val="20"/>
          <w:szCs w:val="20"/>
        </w:rPr>
        <w:t>$</w:t>
      </w:r>
      <w:r>
        <w:rPr>
          <w:sz w:val="20"/>
          <w:szCs w:val="20"/>
        </w:rPr>
        <w:t>5.</w:t>
      </w:r>
      <w:r>
        <w:rPr>
          <w:sz w:val="20"/>
          <w:szCs w:val="20"/>
        </w:rPr>
        <w:t>8</w:t>
      </w:r>
      <w:r>
        <w:rPr>
          <w:sz w:val="20"/>
          <w:szCs w:val="20"/>
        </w:rPr>
        <w:t xml:space="preserve"> millio</w:t>
      </w:r>
      <w:r>
        <w:rPr>
          <w:sz w:val="20"/>
          <w:szCs w:val="20"/>
        </w:rPr>
        <w:t>n</w:t>
      </w:r>
      <w:r>
        <w:rPr>
          <w:sz w:val="20"/>
          <w:szCs w:val="20"/>
        </w:rPr>
        <w:t>.</w:t>
      </w:r>
      <w:r>
        <w:rPr>
          <w:sz w:val="20"/>
          <w:szCs w:val="20"/>
        </w:rPr>
        <w:t xml:space="preserve"> </w:t>
      </w:r>
      <w:r>
        <w:rPr>
          <w:sz w:val="20"/>
          <w:szCs w:val="20"/>
        </w:rPr>
        <w:t xml:space="preserve">As of December 31, 2022, CoreCivic had a residential reentry center in Denver, Colorado with a carrying value of </w:t>
      </w:r>
      <w:r>
        <w:rPr>
          <w:sz w:val="20"/>
          <w:szCs w:val="20"/>
        </w:rPr>
        <w:t>$</w:t>
      </w:r>
      <w:r>
        <w:rPr>
          <w:sz w:val="20"/>
          <w:szCs w:val="20"/>
        </w:rPr>
        <w:t>1.</w:t>
      </w:r>
      <w:r>
        <w:rPr>
          <w:sz w:val="20"/>
          <w:szCs w:val="20"/>
        </w:rPr>
        <w:t>2</w:t>
      </w:r>
      <w:r>
        <w:rPr>
          <w:sz w:val="20"/>
          <w:szCs w:val="20"/>
        </w:rPr>
        <w:t xml:space="preserve"> million also classified as a</w:t>
      </w:r>
      <w:r>
        <w:rPr>
          <w:sz w:val="20"/>
          <w:szCs w:val="20"/>
        </w:rPr>
        <w:t xml:space="preserve">ssets held for sale and reported in CoreCivic's Community segment. The Company's Columbine Facility is under a Purchase and Sale Agreement for a gross sales price of </w:t>
      </w:r>
      <w:r>
        <w:rPr>
          <w:sz w:val="20"/>
          <w:szCs w:val="20"/>
        </w:rPr>
        <w:t>$</w:t>
      </w:r>
      <w:r>
        <w:rPr>
          <w:sz w:val="20"/>
          <w:szCs w:val="20"/>
        </w:rPr>
        <w:t>1.</w:t>
      </w:r>
      <w:r>
        <w:rPr>
          <w:sz w:val="20"/>
          <w:szCs w:val="20"/>
        </w:rPr>
        <w:t>3</w:t>
      </w:r>
      <w:r>
        <w:rPr>
          <w:sz w:val="20"/>
          <w:szCs w:val="20"/>
        </w:rPr>
        <w:t xml:space="preserve"> million, which is expected to close in the second quarter of 2023. Pursuant to the ag</w:t>
      </w:r>
      <w:r>
        <w:rPr>
          <w:sz w:val="20"/>
          <w:szCs w:val="20"/>
        </w:rPr>
        <w:t xml:space="preserve">reement to sell the Columbine facility, in the fourth quarter of 2022, CoreCivic recognized an impairment charge of </w:t>
      </w:r>
      <w:r>
        <w:rPr>
          <w:sz w:val="20"/>
          <w:szCs w:val="20"/>
        </w:rPr>
        <w:t>$</w:t>
      </w:r>
      <w:r>
        <w:rPr>
          <w:sz w:val="20"/>
          <w:szCs w:val="20"/>
        </w:rPr>
        <w:t>0.</w:t>
      </w:r>
      <w:r>
        <w:rPr>
          <w:sz w:val="20"/>
          <w:szCs w:val="20"/>
        </w:rPr>
        <w:t>7</w:t>
      </w:r>
      <w:r>
        <w:rPr>
          <w:sz w:val="20"/>
          <w:szCs w:val="20"/>
        </w:rPr>
        <w:t xml:space="preserve"> million associated with this facility, based on its fair value less costs to sell</w:t>
      </w:r>
      <w:r>
        <w:rPr>
          <w:sz w:val="20"/>
          <w:szCs w:val="20"/>
        </w:rPr>
        <w:t>.</w:t>
      </w:r>
    </w:p>
    <w:p w:rsidR="00000000" w:rsidRDefault="006D723D">
      <w:pPr>
        <w:pStyle w:val="a3"/>
        <w:spacing w:before="0" w:beforeAutospacing="0" w:after="0" w:afterAutospacing="0"/>
        <w:jc w:val="center"/>
        <w:divId w:val="1584993884"/>
        <w:rPr>
          <w:sz w:val="20"/>
          <w:szCs w:val="20"/>
        </w:rPr>
      </w:pPr>
      <w:r>
        <w:rPr>
          <w:sz w:val="20"/>
          <w:szCs w:val="20"/>
        </w:rPr>
        <w:t>F</w:t>
      </w:r>
      <w:r>
        <w:rPr>
          <w:sz w:val="20"/>
          <w:szCs w:val="20"/>
        </w:rPr>
        <w:t>-</w:t>
      </w:r>
      <w:r>
        <w:rPr>
          <w:sz w:val="20"/>
          <w:szCs w:val="20"/>
        </w:rPr>
        <w:t>1</w:t>
      </w:r>
      <w:r>
        <w:rPr>
          <w:sz w:val="20"/>
          <w:szCs w:val="20"/>
        </w:rPr>
        <w:t>7</w:t>
      </w:r>
    </w:p>
    <w:p w:rsidR="00000000" w:rsidRDefault="006D723D">
      <w:pPr>
        <w:divId w:val="1584993884"/>
        <w:rPr>
          <w:rFonts w:eastAsia="Times New Roman"/>
        </w:rPr>
      </w:pPr>
      <w:r>
        <w:rPr>
          <w:rFonts w:eastAsia="Times New Roman"/>
        </w:rPr>
        <w:pict>
          <v:rect id="_x0000_i1145" style="width:0;height:1.5pt" o:hralign="center" o:hrstd="t" o:hr="t" fillcolor="#a0a0a0" stroked="f"/>
        </w:pict>
      </w:r>
    </w:p>
    <w:p w:rsidR="00000000" w:rsidRDefault="006D723D">
      <w:pPr>
        <w:pStyle w:val="a3"/>
        <w:spacing w:before="0" w:beforeAutospacing="0" w:after="0" w:afterAutospacing="0"/>
        <w:divId w:val="1584993884"/>
        <w:rPr>
          <w:sz w:val="20"/>
          <w:szCs w:val="20"/>
        </w:rPr>
      </w:pPr>
      <w:r>
        <w:rPr>
          <w:sz w:val="20"/>
          <w:szCs w:val="20"/>
        </w:rPr>
        <w:t> </w:t>
      </w:r>
    </w:p>
    <w:p w:rsidR="00000000" w:rsidRDefault="006D723D">
      <w:pPr>
        <w:pStyle w:val="a3"/>
        <w:spacing w:before="240" w:beforeAutospacing="0" w:after="0" w:afterAutospacing="0"/>
        <w:ind w:left="476"/>
        <w:jc w:val="both"/>
        <w:divId w:val="1584993884"/>
        <w:rPr>
          <w:sz w:val="20"/>
          <w:szCs w:val="20"/>
        </w:rPr>
      </w:pPr>
      <w:r>
        <w:rPr>
          <w:sz w:val="20"/>
          <w:szCs w:val="20"/>
        </w:rPr>
        <w:t xml:space="preserve">In December 2022, CoreCivic sold an idled residential reentry center in Oklahoma City, Oklahoma and reported in CoreCivic's Community segment. The sale of this facility to a third party generated net sales proceeds of </w:t>
      </w:r>
      <w:r>
        <w:rPr>
          <w:sz w:val="20"/>
          <w:szCs w:val="20"/>
        </w:rPr>
        <w:t>$</w:t>
      </w:r>
      <w:r>
        <w:rPr>
          <w:sz w:val="20"/>
          <w:szCs w:val="20"/>
        </w:rPr>
        <w:t>0.</w:t>
      </w:r>
      <w:r>
        <w:rPr>
          <w:sz w:val="20"/>
          <w:szCs w:val="20"/>
        </w:rPr>
        <w:t>9</w:t>
      </w:r>
      <w:r>
        <w:rPr>
          <w:sz w:val="20"/>
          <w:szCs w:val="20"/>
        </w:rPr>
        <w:t xml:space="preserve"> million. Pursuant to the agreemen</w:t>
      </w:r>
      <w:r>
        <w:rPr>
          <w:sz w:val="20"/>
          <w:szCs w:val="20"/>
        </w:rPr>
        <w:t xml:space="preserve">t to sell the Oklahoma City property, in the third quarter of 2022, CoreCivic recognized an impairment charge of </w:t>
      </w:r>
      <w:r>
        <w:rPr>
          <w:sz w:val="20"/>
          <w:szCs w:val="20"/>
        </w:rPr>
        <w:t>$</w:t>
      </w:r>
      <w:r>
        <w:rPr>
          <w:sz w:val="20"/>
          <w:szCs w:val="20"/>
        </w:rPr>
        <w:t>3.</w:t>
      </w:r>
      <w:r>
        <w:rPr>
          <w:sz w:val="20"/>
          <w:szCs w:val="20"/>
        </w:rPr>
        <w:t>5</w:t>
      </w:r>
      <w:r>
        <w:rPr>
          <w:sz w:val="20"/>
          <w:szCs w:val="20"/>
        </w:rPr>
        <w:t xml:space="preserve"> million associated with this facility, based on its fair value less costs to sell</w:t>
      </w:r>
      <w:r>
        <w:rPr>
          <w:sz w:val="20"/>
          <w:szCs w:val="20"/>
        </w:rPr>
        <w:t>.</w:t>
      </w:r>
    </w:p>
    <w:p w:rsidR="00000000" w:rsidRDefault="006D723D">
      <w:pPr>
        <w:pStyle w:val="a3"/>
        <w:spacing w:before="240" w:beforeAutospacing="0" w:after="0" w:afterAutospacing="0"/>
        <w:ind w:left="476"/>
        <w:jc w:val="both"/>
        <w:divId w:val="1584993884"/>
        <w:rPr>
          <w:sz w:val="20"/>
          <w:szCs w:val="20"/>
        </w:rPr>
      </w:pPr>
      <w:r>
        <w:rPr>
          <w:sz w:val="20"/>
          <w:szCs w:val="20"/>
        </w:rPr>
        <w:t>On July 25, 2022, CoreCivic entered into a Purchase and</w:t>
      </w:r>
      <w:r>
        <w:rPr>
          <w:sz w:val="20"/>
          <w:szCs w:val="20"/>
        </w:rPr>
        <w:t xml:space="preserve"> Sale Agreement with the Georgia Building Authority for the sale of CoreCivic's McRae Correctional Facility located in McRae, Georgia, and reported in CoreCivic's Safety segment, for a gross sales price of </w:t>
      </w:r>
      <w:r>
        <w:rPr>
          <w:sz w:val="20"/>
          <w:szCs w:val="20"/>
        </w:rPr>
        <w:t>$</w:t>
      </w:r>
      <w:r>
        <w:rPr>
          <w:sz w:val="20"/>
          <w:szCs w:val="20"/>
        </w:rPr>
        <w:t>130.</w:t>
      </w:r>
      <w:r>
        <w:rPr>
          <w:sz w:val="20"/>
          <w:szCs w:val="20"/>
        </w:rPr>
        <w:t>0</w:t>
      </w:r>
      <w:r>
        <w:rPr>
          <w:sz w:val="20"/>
          <w:szCs w:val="20"/>
        </w:rPr>
        <w:t xml:space="preserve"> million. The sale of the McRae facility was</w:t>
      </w:r>
      <w:r>
        <w:rPr>
          <w:sz w:val="20"/>
          <w:szCs w:val="20"/>
        </w:rPr>
        <w:t xml:space="preserve"> completed on August 9, 2022. The sale generated net proceeds of </w:t>
      </w:r>
      <w:r>
        <w:rPr>
          <w:sz w:val="20"/>
          <w:szCs w:val="20"/>
        </w:rPr>
        <w:t>$</w:t>
      </w:r>
      <w:r>
        <w:rPr>
          <w:sz w:val="20"/>
          <w:szCs w:val="20"/>
        </w:rPr>
        <w:t>129.</w:t>
      </w:r>
      <w:r>
        <w:rPr>
          <w:sz w:val="20"/>
          <w:szCs w:val="20"/>
        </w:rPr>
        <w:t>7</w:t>
      </w:r>
      <w:r>
        <w:rPr>
          <w:sz w:val="20"/>
          <w:szCs w:val="20"/>
        </w:rPr>
        <w:t xml:space="preserve"> million, resulting in a gain on sale of </w:t>
      </w:r>
      <w:r>
        <w:rPr>
          <w:sz w:val="20"/>
          <w:szCs w:val="20"/>
        </w:rPr>
        <w:t>$</w:t>
      </w:r>
      <w:r>
        <w:rPr>
          <w:sz w:val="20"/>
          <w:szCs w:val="20"/>
        </w:rPr>
        <w:t>77.</w:t>
      </w:r>
      <w:r>
        <w:rPr>
          <w:sz w:val="20"/>
          <w:szCs w:val="20"/>
        </w:rPr>
        <w:t>5</w:t>
      </w:r>
      <w:r>
        <w:rPr>
          <w:sz w:val="20"/>
          <w:szCs w:val="20"/>
        </w:rPr>
        <w:t xml:space="preserve"> million after transaction costs, which was reported in the third quarter of 2022. CoreCivic had a management contract with the BOP at the </w:t>
      </w:r>
      <w:r>
        <w:rPr>
          <w:sz w:val="20"/>
          <w:szCs w:val="20"/>
        </w:rPr>
        <w:t>McRae facility, which expired on November 30, 2022 and was not renewed. In connection with the sale, CoreCivic and the Georgia Building Authority entered into an agreement to lease the McRae Correctional Facility to CoreCivic through November 30, 2022 to a</w:t>
      </w:r>
      <w:r>
        <w:rPr>
          <w:sz w:val="20"/>
          <w:szCs w:val="20"/>
        </w:rPr>
        <w:t>llow the Company to fulfill its obligations to the BOP</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1584993884"/>
        <w:rPr>
          <w:sz w:val="20"/>
          <w:szCs w:val="20"/>
        </w:rPr>
      </w:pPr>
      <w:r>
        <w:rPr>
          <w:sz w:val="20"/>
          <w:szCs w:val="20"/>
        </w:rPr>
        <w:t>During July 2022, CoreCivic sold its Stockton Female Community Corrections Facility and its Long Beach Community Corrections Center, both located in California, and reported in CoreCivic's Properties</w:t>
      </w:r>
      <w:r>
        <w:rPr>
          <w:sz w:val="20"/>
          <w:szCs w:val="20"/>
        </w:rPr>
        <w:t xml:space="preserve"> segment. The sale of these properties to a third party generated net sales proceeds of </w:t>
      </w:r>
      <w:r>
        <w:rPr>
          <w:sz w:val="20"/>
          <w:szCs w:val="20"/>
        </w:rPr>
        <w:t>$</w:t>
      </w:r>
      <w:r>
        <w:rPr>
          <w:sz w:val="20"/>
          <w:szCs w:val="20"/>
        </w:rPr>
        <w:t>10.</w:t>
      </w:r>
      <w:r>
        <w:rPr>
          <w:sz w:val="20"/>
          <w:szCs w:val="20"/>
        </w:rPr>
        <w:t>9</w:t>
      </w:r>
      <w:r>
        <w:rPr>
          <w:sz w:val="20"/>
          <w:szCs w:val="20"/>
        </w:rPr>
        <w:t xml:space="preserve"> million, resulting in a gain on sale of </w:t>
      </w:r>
      <w:r>
        <w:rPr>
          <w:sz w:val="20"/>
          <w:szCs w:val="20"/>
        </w:rPr>
        <w:t>$</w:t>
      </w:r>
      <w:r>
        <w:rPr>
          <w:sz w:val="20"/>
          <w:szCs w:val="20"/>
        </w:rPr>
        <w:t>2.</w:t>
      </w:r>
      <w:r>
        <w:rPr>
          <w:sz w:val="20"/>
          <w:szCs w:val="20"/>
        </w:rPr>
        <w:t>3</w:t>
      </w:r>
      <w:r>
        <w:rPr>
          <w:sz w:val="20"/>
          <w:szCs w:val="20"/>
        </w:rPr>
        <w:t xml:space="preserve"> million after transaction costs, which was reported in the third quarter of 2022. During July 2022, CoreCivic also so</w:t>
      </w:r>
      <w:r>
        <w:rPr>
          <w:sz w:val="20"/>
          <w:szCs w:val="20"/>
        </w:rPr>
        <w:t xml:space="preserve">ld an undeveloped parcel of land. The sale of this parcel generated net sales proceeds of </w:t>
      </w:r>
      <w:r>
        <w:rPr>
          <w:sz w:val="20"/>
          <w:szCs w:val="20"/>
        </w:rPr>
        <w:t>$</w:t>
      </w:r>
      <w:r>
        <w:rPr>
          <w:sz w:val="20"/>
          <w:szCs w:val="20"/>
        </w:rPr>
        <w:t>4.</w:t>
      </w:r>
      <w:r>
        <w:rPr>
          <w:sz w:val="20"/>
          <w:szCs w:val="20"/>
        </w:rPr>
        <w:t>8</w:t>
      </w:r>
      <w:r>
        <w:rPr>
          <w:sz w:val="20"/>
          <w:szCs w:val="20"/>
        </w:rPr>
        <w:t xml:space="preserve"> million, resulting in a gain of </w:t>
      </w:r>
      <w:r>
        <w:rPr>
          <w:sz w:val="20"/>
          <w:szCs w:val="20"/>
        </w:rPr>
        <w:t>$</w:t>
      </w:r>
      <w:r>
        <w:rPr>
          <w:sz w:val="20"/>
          <w:szCs w:val="20"/>
        </w:rPr>
        <w:t>4.</w:t>
      </w:r>
      <w:r>
        <w:rPr>
          <w:sz w:val="20"/>
          <w:szCs w:val="20"/>
        </w:rPr>
        <w:t>2</w:t>
      </w:r>
      <w:r>
        <w:rPr>
          <w:sz w:val="20"/>
          <w:szCs w:val="20"/>
        </w:rPr>
        <w:t xml:space="preserve"> million after transaction costs, which was reported in the third quarter of 2022</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1584993884"/>
        <w:rPr>
          <w:sz w:val="20"/>
          <w:szCs w:val="20"/>
        </w:rPr>
      </w:pPr>
      <w:r>
        <w:rPr>
          <w:sz w:val="20"/>
          <w:szCs w:val="20"/>
        </w:rPr>
        <w:t>During the second quarter of 2022, CoreCi</w:t>
      </w:r>
      <w:r>
        <w:rPr>
          <w:sz w:val="20"/>
          <w:szCs w:val="20"/>
        </w:rPr>
        <w:t xml:space="preserve">vic sold an additional undeveloped parcel of land in Kern, California. The sale generated net proceeds of </w:t>
      </w:r>
      <w:r>
        <w:rPr>
          <w:sz w:val="20"/>
          <w:szCs w:val="20"/>
        </w:rPr>
        <w:t>$</w:t>
      </w:r>
      <w:r>
        <w:rPr>
          <w:sz w:val="20"/>
          <w:szCs w:val="20"/>
        </w:rPr>
        <w:t>1.</w:t>
      </w:r>
      <w:r>
        <w:rPr>
          <w:sz w:val="20"/>
          <w:szCs w:val="20"/>
        </w:rPr>
        <w:t>5</w:t>
      </w:r>
      <w:r>
        <w:rPr>
          <w:sz w:val="20"/>
          <w:szCs w:val="20"/>
        </w:rPr>
        <w:t xml:space="preserve"> million, resulting in a gain on sale of </w:t>
      </w:r>
      <w:r>
        <w:rPr>
          <w:sz w:val="20"/>
          <w:szCs w:val="20"/>
        </w:rPr>
        <w:t>$</w:t>
      </w:r>
      <w:r>
        <w:rPr>
          <w:sz w:val="20"/>
          <w:szCs w:val="20"/>
        </w:rPr>
        <w:t>1.</w:t>
      </w:r>
      <w:r>
        <w:rPr>
          <w:sz w:val="20"/>
          <w:szCs w:val="20"/>
        </w:rPr>
        <w:t>1</w:t>
      </w:r>
      <w:r>
        <w:rPr>
          <w:sz w:val="20"/>
          <w:szCs w:val="20"/>
        </w:rPr>
        <w:t xml:space="preserve"> million after transaction costs</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1584993884"/>
        <w:rPr>
          <w:sz w:val="20"/>
          <w:szCs w:val="20"/>
        </w:rPr>
      </w:pPr>
      <w:r>
        <w:rPr>
          <w:sz w:val="20"/>
          <w:szCs w:val="20"/>
        </w:rPr>
        <w:t>As of December 31, 2021, CoreCivic had</w:t>
      </w:r>
      <w:r>
        <w:rPr>
          <w:sz w:val="20"/>
          <w:szCs w:val="20"/>
        </w:rPr>
        <w:t xml:space="preserve"> </w:t>
      </w:r>
      <w:r>
        <w:rPr>
          <w:sz w:val="20"/>
          <w:szCs w:val="20"/>
        </w:rPr>
        <w:t>tw</w:t>
      </w:r>
      <w:r>
        <w:rPr>
          <w:sz w:val="20"/>
          <w:szCs w:val="20"/>
        </w:rPr>
        <w:t>o</w:t>
      </w:r>
      <w:r>
        <w:rPr>
          <w:sz w:val="20"/>
          <w:szCs w:val="20"/>
        </w:rPr>
        <w:t xml:space="preserve"> facilities in its CoreC</w:t>
      </w:r>
      <w:r>
        <w:rPr>
          <w:sz w:val="20"/>
          <w:szCs w:val="20"/>
        </w:rPr>
        <w:t xml:space="preserve">ivic Community segment held for sale. The aggregate carrying value of the property and equipment of these two facilities, amounting to </w:t>
      </w:r>
      <w:r>
        <w:rPr>
          <w:sz w:val="20"/>
          <w:szCs w:val="20"/>
        </w:rPr>
        <w:t>$</w:t>
      </w:r>
      <w:r>
        <w:rPr>
          <w:sz w:val="20"/>
          <w:szCs w:val="20"/>
        </w:rPr>
        <w:t>7.</w:t>
      </w:r>
      <w:r>
        <w:rPr>
          <w:sz w:val="20"/>
          <w:szCs w:val="20"/>
        </w:rPr>
        <w:t>0</w:t>
      </w:r>
      <w:r>
        <w:rPr>
          <w:sz w:val="20"/>
          <w:szCs w:val="20"/>
        </w:rPr>
        <w:t xml:space="preserve"> million, was reflected as assets held for sale on the Company's consolidated balance sheet as of December 31, 2021. </w:t>
      </w:r>
      <w:r>
        <w:rPr>
          <w:sz w:val="20"/>
          <w:szCs w:val="20"/>
        </w:rPr>
        <w:t xml:space="preserve">The Company closed on the sale of these two facilities, one of which was idle, in the first quarter of 2022. The aggregate net sales proceeds of the two facilities was </w:t>
      </w:r>
      <w:r>
        <w:rPr>
          <w:sz w:val="20"/>
          <w:szCs w:val="20"/>
        </w:rPr>
        <w:t>$</w:t>
      </w:r>
      <w:r>
        <w:rPr>
          <w:sz w:val="20"/>
          <w:szCs w:val="20"/>
        </w:rPr>
        <w:t>9.</w:t>
      </w:r>
      <w:r>
        <w:rPr>
          <w:sz w:val="20"/>
          <w:szCs w:val="20"/>
        </w:rPr>
        <w:t>3</w:t>
      </w:r>
      <w:r>
        <w:rPr>
          <w:sz w:val="20"/>
          <w:szCs w:val="20"/>
        </w:rPr>
        <w:t xml:space="preserve"> million, resulting in a net gain on sale of </w:t>
      </w:r>
      <w:r>
        <w:rPr>
          <w:sz w:val="20"/>
          <w:szCs w:val="20"/>
        </w:rPr>
        <w:t>$</w:t>
      </w:r>
      <w:r>
        <w:rPr>
          <w:sz w:val="20"/>
          <w:szCs w:val="20"/>
        </w:rPr>
        <w:t>2.</w:t>
      </w:r>
      <w:r>
        <w:rPr>
          <w:sz w:val="20"/>
          <w:szCs w:val="20"/>
        </w:rPr>
        <w:t>3</w:t>
      </w:r>
      <w:r>
        <w:rPr>
          <w:sz w:val="20"/>
          <w:szCs w:val="20"/>
        </w:rPr>
        <w:t xml:space="preserve"> million after transaction costs</w:t>
      </w:r>
      <w:r>
        <w:rPr>
          <w:sz w:val="20"/>
          <w:szCs w:val="20"/>
        </w:rPr>
        <w:t>.</w:t>
      </w:r>
    </w:p>
    <w:p w:rsidR="00000000" w:rsidRDefault="006D723D">
      <w:pPr>
        <w:pStyle w:val="a3"/>
        <w:spacing w:before="240" w:beforeAutospacing="0" w:after="0" w:afterAutospacing="0"/>
        <w:ind w:left="476"/>
        <w:jc w:val="both"/>
        <w:divId w:val="1584993884"/>
        <w:rPr>
          <w:sz w:val="20"/>
          <w:szCs w:val="20"/>
        </w:rPr>
      </w:pPr>
      <w:r>
        <w:rPr>
          <w:sz w:val="20"/>
          <w:szCs w:val="20"/>
        </w:rPr>
        <w:t>D</w:t>
      </w:r>
      <w:r>
        <w:rPr>
          <w:sz w:val="20"/>
          <w:szCs w:val="20"/>
        </w:rPr>
        <w:t>uring the full year 2021, CoreCivic completed the sale of</w:t>
      </w:r>
      <w:r>
        <w:rPr>
          <w:sz w:val="20"/>
          <w:szCs w:val="20"/>
        </w:rPr>
        <w:t xml:space="preserve"> </w:t>
      </w:r>
      <w:r>
        <w:rPr>
          <w:sz w:val="20"/>
          <w:szCs w:val="20"/>
        </w:rPr>
        <w:t>fiv</w:t>
      </w:r>
      <w:r>
        <w:rPr>
          <w:sz w:val="20"/>
          <w:szCs w:val="20"/>
        </w:rPr>
        <w:t>e</w:t>
      </w:r>
      <w:r>
        <w:rPr>
          <w:sz w:val="20"/>
          <w:szCs w:val="20"/>
        </w:rPr>
        <w:t xml:space="preserve"> government-leased properties in the Company's Properties segment. The sales of the five properties generated aggregate net proceeds of </w:t>
      </w:r>
      <w:r>
        <w:rPr>
          <w:sz w:val="20"/>
          <w:szCs w:val="20"/>
        </w:rPr>
        <w:t>$</w:t>
      </w:r>
      <w:r>
        <w:rPr>
          <w:sz w:val="20"/>
          <w:szCs w:val="20"/>
        </w:rPr>
        <w:t>125.</w:t>
      </w:r>
      <w:r>
        <w:rPr>
          <w:sz w:val="20"/>
          <w:szCs w:val="20"/>
        </w:rPr>
        <w:t>0</w:t>
      </w:r>
      <w:r>
        <w:rPr>
          <w:sz w:val="20"/>
          <w:szCs w:val="20"/>
        </w:rPr>
        <w:t xml:space="preserve"> million, after the repayment of mortgage debt and o</w:t>
      </w:r>
      <w:r>
        <w:rPr>
          <w:sz w:val="20"/>
          <w:szCs w:val="20"/>
        </w:rPr>
        <w:t xml:space="preserve">ther transaction-related costs, resulting in an aggregate net gain on sale of </w:t>
      </w:r>
      <w:r>
        <w:rPr>
          <w:sz w:val="20"/>
          <w:szCs w:val="20"/>
        </w:rPr>
        <w:t>$</w:t>
      </w:r>
      <w:r>
        <w:rPr>
          <w:sz w:val="20"/>
          <w:szCs w:val="20"/>
        </w:rPr>
        <w:t>38.</w:t>
      </w:r>
      <w:r>
        <w:rPr>
          <w:sz w:val="20"/>
          <w:szCs w:val="20"/>
        </w:rPr>
        <w:t>7</w:t>
      </w:r>
      <w:r>
        <w:rPr>
          <w:sz w:val="20"/>
          <w:szCs w:val="20"/>
        </w:rPr>
        <w:t xml:space="preserve"> million</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1584993884"/>
        <w:rPr>
          <w:sz w:val="20"/>
          <w:szCs w:val="20"/>
        </w:rPr>
      </w:pPr>
      <w:r>
        <w:rPr>
          <w:sz w:val="20"/>
          <w:szCs w:val="20"/>
        </w:rPr>
        <w:t>On January 2, 2020, CoreCivic completed the acquisition of a portfolio of</w:t>
      </w:r>
      <w:r>
        <w:rPr>
          <w:sz w:val="20"/>
          <w:szCs w:val="20"/>
        </w:rPr>
        <w:t xml:space="preserve"> </w:t>
      </w:r>
      <w:r>
        <w:rPr>
          <w:sz w:val="20"/>
          <w:szCs w:val="20"/>
        </w:rPr>
        <w:t>2</w:t>
      </w:r>
      <w:r>
        <w:rPr>
          <w:sz w:val="20"/>
          <w:szCs w:val="20"/>
        </w:rPr>
        <w:t>8</w:t>
      </w:r>
      <w:r>
        <w:rPr>
          <w:sz w:val="20"/>
          <w:szCs w:val="20"/>
        </w:rPr>
        <w:t xml:space="preserve"> properties,</w:t>
      </w:r>
      <w:r>
        <w:rPr>
          <w:sz w:val="20"/>
          <w:szCs w:val="20"/>
        </w:rPr>
        <w:t xml:space="preserve"> </w:t>
      </w:r>
      <w:r>
        <w:rPr>
          <w:sz w:val="20"/>
          <w:szCs w:val="20"/>
        </w:rPr>
        <w:t>2</w:t>
      </w:r>
      <w:r>
        <w:rPr>
          <w:sz w:val="20"/>
          <w:szCs w:val="20"/>
        </w:rPr>
        <w:t>4</w:t>
      </w:r>
      <w:r>
        <w:rPr>
          <w:sz w:val="20"/>
          <w:szCs w:val="20"/>
        </w:rPr>
        <w:t xml:space="preserve"> of which the counter-party contributed to Government Real Estate Solut</w:t>
      </w:r>
      <w:r>
        <w:rPr>
          <w:sz w:val="20"/>
          <w:szCs w:val="20"/>
        </w:rPr>
        <w:t xml:space="preserve">ions ("GRES"), an unrestricted subsidiary controlled by the Company, for total consideration of </w:t>
      </w:r>
      <w:r>
        <w:rPr>
          <w:sz w:val="20"/>
          <w:szCs w:val="20"/>
        </w:rPr>
        <w:t>$</w:t>
      </w:r>
      <w:r>
        <w:rPr>
          <w:sz w:val="20"/>
          <w:szCs w:val="20"/>
        </w:rPr>
        <w:t>83.</w:t>
      </w:r>
      <w:r>
        <w:rPr>
          <w:sz w:val="20"/>
          <w:szCs w:val="20"/>
        </w:rPr>
        <w:t>2</w:t>
      </w:r>
      <w:r>
        <w:rPr>
          <w:sz w:val="20"/>
          <w:szCs w:val="20"/>
        </w:rPr>
        <w:t xml:space="preserve"> million, excluding transaction-related expenses. All of the properties were leased to the federal government through the General Services Administration (</w:t>
      </w:r>
      <w:r>
        <w:rPr>
          <w:sz w:val="20"/>
          <w:szCs w:val="20"/>
        </w:rPr>
        <w:t xml:space="preserve">"GSA"), an independent agency of the United States Government. CoreCivic financed the acquisition with </w:t>
      </w:r>
      <w:r>
        <w:rPr>
          <w:sz w:val="20"/>
          <w:szCs w:val="20"/>
        </w:rPr>
        <w:t>$</w:t>
      </w:r>
      <w:r>
        <w:rPr>
          <w:sz w:val="20"/>
          <w:szCs w:val="20"/>
        </w:rPr>
        <w:t>7.</w:t>
      </w:r>
      <w:r>
        <w:rPr>
          <w:sz w:val="20"/>
          <w:szCs w:val="20"/>
        </w:rPr>
        <w:t>7</w:t>
      </w:r>
      <w:r>
        <w:rPr>
          <w:sz w:val="20"/>
          <w:szCs w:val="20"/>
        </w:rPr>
        <w:t xml:space="preserve"> million of cash, assumed debt of </w:t>
      </w:r>
      <w:r>
        <w:rPr>
          <w:sz w:val="20"/>
          <w:szCs w:val="20"/>
        </w:rPr>
        <w:t>$</w:t>
      </w:r>
      <w:r>
        <w:rPr>
          <w:sz w:val="20"/>
          <w:szCs w:val="20"/>
        </w:rPr>
        <w:t>52.</w:t>
      </w:r>
      <w:r>
        <w:rPr>
          <w:sz w:val="20"/>
          <w:szCs w:val="20"/>
        </w:rPr>
        <w:t>2</w:t>
      </w:r>
      <w:r>
        <w:rPr>
          <w:sz w:val="20"/>
          <w:szCs w:val="20"/>
        </w:rPr>
        <w:t xml:space="preserve"> million, and the balance with the issuance of</w:t>
      </w:r>
      <w:r>
        <w:rPr>
          <w:sz w:val="20"/>
          <w:szCs w:val="20"/>
        </w:rPr>
        <w:t xml:space="preserve"> </w:t>
      </w:r>
      <w:r>
        <w:rPr>
          <w:sz w:val="20"/>
          <w:szCs w:val="20"/>
        </w:rPr>
        <w:t>1.</w:t>
      </w:r>
      <w:r>
        <w:rPr>
          <w:sz w:val="20"/>
          <w:szCs w:val="20"/>
        </w:rPr>
        <w:t>3</w:t>
      </w:r>
      <w:r>
        <w:rPr>
          <w:sz w:val="20"/>
          <w:szCs w:val="20"/>
        </w:rPr>
        <w:t xml:space="preserve"> million shares of Class A Common Interests in GRES that wer</w:t>
      </w:r>
      <w:r>
        <w:rPr>
          <w:sz w:val="20"/>
          <w:szCs w:val="20"/>
        </w:rPr>
        <w:t>e convertible into cash or, at the Company's option, shares of the Company's common stock following a</w:t>
      </w:r>
      <w:r>
        <w:rPr>
          <w:sz w:val="20"/>
          <w:szCs w:val="20"/>
        </w:rPr>
        <w:t xml:space="preserve"> </w:t>
      </w:r>
      <w:r>
        <w:rPr>
          <w:sz w:val="20"/>
          <w:szCs w:val="20"/>
        </w:rPr>
        <w:t>two-yea</w:t>
      </w:r>
      <w:r>
        <w:rPr>
          <w:sz w:val="20"/>
          <w:szCs w:val="20"/>
        </w:rPr>
        <w:t>r</w:t>
      </w:r>
      <w:r>
        <w:rPr>
          <w:sz w:val="20"/>
          <w:szCs w:val="20"/>
        </w:rPr>
        <w:t xml:space="preserve"> holding period on a</w:t>
      </w:r>
      <w:r>
        <w:rPr>
          <w:sz w:val="20"/>
          <w:szCs w:val="20"/>
        </w:rPr>
        <w:t xml:space="preserve"> </w:t>
      </w:r>
      <w:r>
        <w:rPr>
          <w:sz w:val="20"/>
          <w:szCs w:val="20"/>
        </w:rPr>
        <w:t>one-for-one basi</w:t>
      </w:r>
      <w:r>
        <w:rPr>
          <w:sz w:val="20"/>
          <w:szCs w:val="20"/>
        </w:rPr>
        <w:t>s</w:t>
      </w:r>
      <w:r>
        <w:rPr>
          <w:sz w:val="20"/>
          <w:szCs w:val="20"/>
        </w:rPr>
        <w:t xml:space="preserve"> (the "Operating Partnership Units"), using a partnership structure. In allocating the purchase price of the</w:t>
      </w:r>
      <w:r>
        <w:rPr>
          <w:sz w:val="20"/>
          <w:szCs w:val="20"/>
        </w:rPr>
        <w:t xml:space="preserve"> acquisition, CoreCivic recorded </w:t>
      </w:r>
      <w:r>
        <w:rPr>
          <w:sz w:val="20"/>
          <w:szCs w:val="20"/>
        </w:rPr>
        <w:t>$</w:t>
      </w:r>
      <w:r>
        <w:rPr>
          <w:sz w:val="20"/>
          <w:szCs w:val="20"/>
        </w:rPr>
        <w:t>77.</w:t>
      </w:r>
      <w:r>
        <w:rPr>
          <w:sz w:val="20"/>
          <w:szCs w:val="20"/>
        </w:rPr>
        <w:t>4</w:t>
      </w:r>
      <w:r>
        <w:rPr>
          <w:sz w:val="20"/>
          <w:szCs w:val="20"/>
        </w:rPr>
        <w:t xml:space="preserve"> million of net tangible assets, </w:t>
      </w:r>
      <w:r>
        <w:rPr>
          <w:sz w:val="20"/>
          <w:szCs w:val="20"/>
        </w:rPr>
        <w:t>$</w:t>
      </w:r>
      <w:r>
        <w:rPr>
          <w:sz w:val="20"/>
          <w:szCs w:val="20"/>
        </w:rPr>
        <w:t>7.</w:t>
      </w:r>
      <w:r>
        <w:rPr>
          <w:sz w:val="20"/>
          <w:szCs w:val="20"/>
        </w:rPr>
        <w:t>5</w:t>
      </w:r>
      <w:r>
        <w:rPr>
          <w:sz w:val="20"/>
          <w:szCs w:val="20"/>
        </w:rPr>
        <w:t xml:space="preserve"> million of identifiable intangible assets, and </w:t>
      </w:r>
      <w:r>
        <w:rPr>
          <w:sz w:val="20"/>
          <w:szCs w:val="20"/>
        </w:rPr>
        <w:t>$</w:t>
      </w:r>
      <w:r>
        <w:rPr>
          <w:sz w:val="20"/>
          <w:szCs w:val="20"/>
        </w:rPr>
        <w:t>4.</w:t>
      </w:r>
      <w:r>
        <w:rPr>
          <w:sz w:val="20"/>
          <w:szCs w:val="20"/>
        </w:rPr>
        <w:t>9</w:t>
      </w:r>
      <w:r>
        <w:rPr>
          <w:sz w:val="20"/>
          <w:szCs w:val="20"/>
        </w:rPr>
        <w:t xml:space="preserve"> million of tenant improvements</w:t>
      </w:r>
      <w:r>
        <w:rPr>
          <w:sz w:val="20"/>
          <w:szCs w:val="20"/>
        </w:rPr>
        <w:t>.</w:t>
      </w:r>
      <w:r>
        <w:rPr>
          <w:sz w:val="20"/>
          <w:szCs w:val="20"/>
        </w:rPr>
        <w:t xml:space="preserve"> </w:t>
      </w:r>
    </w:p>
    <w:p w:rsidR="00000000" w:rsidRDefault="006D723D">
      <w:pPr>
        <w:pStyle w:val="a3"/>
        <w:spacing w:before="0" w:beforeAutospacing="0" w:after="0" w:afterAutospacing="0"/>
        <w:jc w:val="center"/>
        <w:divId w:val="1584993884"/>
        <w:rPr>
          <w:sz w:val="20"/>
          <w:szCs w:val="20"/>
        </w:rPr>
      </w:pPr>
      <w:r>
        <w:rPr>
          <w:sz w:val="20"/>
          <w:szCs w:val="20"/>
        </w:rPr>
        <w:t>F</w:t>
      </w:r>
      <w:r>
        <w:rPr>
          <w:sz w:val="20"/>
          <w:szCs w:val="20"/>
        </w:rPr>
        <w:t>-</w:t>
      </w:r>
      <w:r>
        <w:rPr>
          <w:sz w:val="20"/>
          <w:szCs w:val="20"/>
        </w:rPr>
        <w:t>1</w:t>
      </w:r>
      <w:r>
        <w:rPr>
          <w:sz w:val="20"/>
          <w:szCs w:val="20"/>
        </w:rPr>
        <w:t>8</w:t>
      </w:r>
    </w:p>
    <w:p w:rsidR="00000000" w:rsidRDefault="006D723D">
      <w:pPr>
        <w:divId w:val="1584993884"/>
        <w:rPr>
          <w:rFonts w:eastAsia="Times New Roman"/>
        </w:rPr>
      </w:pPr>
      <w:r>
        <w:rPr>
          <w:rFonts w:eastAsia="Times New Roman"/>
        </w:rPr>
        <w:pict>
          <v:rect id="_x0000_i1146" style="width:0;height:1.5pt" o:hralign="center" o:hrstd="t" o:hr="t" fillcolor="#a0a0a0" stroked="f"/>
        </w:pict>
      </w:r>
    </w:p>
    <w:p w:rsidR="00000000" w:rsidRDefault="006D723D">
      <w:pPr>
        <w:pStyle w:val="a3"/>
        <w:spacing w:before="0" w:beforeAutospacing="0" w:after="0" w:afterAutospacing="0"/>
        <w:divId w:val="1584993884"/>
        <w:rPr>
          <w:sz w:val="20"/>
          <w:szCs w:val="20"/>
        </w:rPr>
      </w:pPr>
      <w:r>
        <w:rPr>
          <w:sz w:val="20"/>
          <w:szCs w:val="20"/>
        </w:rPr>
        <w:t> </w:t>
      </w:r>
    </w:p>
    <w:p w:rsidR="00000000" w:rsidRDefault="006D723D">
      <w:pPr>
        <w:pStyle w:val="a3"/>
        <w:spacing w:before="240" w:beforeAutospacing="0" w:after="0" w:afterAutospacing="0"/>
        <w:ind w:left="476"/>
        <w:jc w:val="both"/>
        <w:divId w:val="1584993884"/>
        <w:rPr>
          <w:sz w:val="20"/>
          <w:szCs w:val="20"/>
        </w:rPr>
      </w:pPr>
      <w:r>
        <w:rPr>
          <w:sz w:val="20"/>
          <w:szCs w:val="20"/>
        </w:rPr>
        <w:t>On December 23, 2020, CoreCivic completed the sale o</w:t>
      </w:r>
      <w:r>
        <w:rPr>
          <w:sz w:val="20"/>
          <w:szCs w:val="20"/>
        </w:rPr>
        <w:t>f</w:t>
      </w:r>
      <w:r>
        <w:rPr>
          <w:sz w:val="20"/>
          <w:szCs w:val="20"/>
        </w:rPr>
        <w:t xml:space="preserve"> </w:t>
      </w:r>
      <w:r>
        <w:rPr>
          <w:sz w:val="20"/>
          <w:szCs w:val="20"/>
        </w:rPr>
        <w:t>4</w:t>
      </w:r>
      <w:r>
        <w:rPr>
          <w:sz w:val="20"/>
          <w:szCs w:val="20"/>
        </w:rPr>
        <w:t>2</w:t>
      </w:r>
      <w:r>
        <w:rPr>
          <w:sz w:val="20"/>
          <w:szCs w:val="20"/>
        </w:rPr>
        <w:t xml:space="preserve"> government-leased properties, including the portfolio of</w:t>
      </w:r>
      <w:r>
        <w:rPr>
          <w:sz w:val="20"/>
          <w:szCs w:val="20"/>
        </w:rPr>
        <w:t xml:space="preserve"> </w:t>
      </w:r>
      <w:r>
        <w:rPr>
          <w:sz w:val="20"/>
          <w:szCs w:val="20"/>
        </w:rPr>
        <w:t>2</w:t>
      </w:r>
      <w:r>
        <w:rPr>
          <w:sz w:val="20"/>
          <w:szCs w:val="20"/>
        </w:rPr>
        <w:t>8</w:t>
      </w:r>
      <w:r>
        <w:rPr>
          <w:sz w:val="20"/>
          <w:szCs w:val="20"/>
        </w:rPr>
        <w:t xml:space="preserve"> properties acquired in 2020 and</w:t>
      </w:r>
      <w:r>
        <w:rPr>
          <w:sz w:val="20"/>
          <w:szCs w:val="20"/>
        </w:rPr>
        <w:t xml:space="preserve"> </w:t>
      </w:r>
      <w:r>
        <w:rPr>
          <w:sz w:val="20"/>
          <w:szCs w:val="20"/>
        </w:rPr>
        <w:t>1</w:t>
      </w:r>
      <w:r>
        <w:rPr>
          <w:sz w:val="20"/>
          <w:szCs w:val="20"/>
        </w:rPr>
        <w:t>4</w:t>
      </w:r>
      <w:r>
        <w:rPr>
          <w:sz w:val="20"/>
          <w:szCs w:val="20"/>
        </w:rPr>
        <w:t xml:space="preserve"> properties acquired in 2017 and 2018, in a single transaction to a third party for an aggregate price of </w:t>
      </w:r>
      <w:r>
        <w:rPr>
          <w:sz w:val="20"/>
          <w:szCs w:val="20"/>
        </w:rPr>
        <w:t>$</w:t>
      </w:r>
      <w:r>
        <w:rPr>
          <w:sz w:val="20"/>
          <w:szCs w:val="20"/>
        </w:rPr>
        <w:t>106.</w:t>
      </w:r>
      <w:r>
        <w:rPr>
          <w:sz w:val="20"/>
          <w:szCs w:val="20"/>
        </w:rPr>
        <w:t>5</w:t>
      </w:r>
      <w:r>
        <w:rPr>
          <w:sz w:val="20"/>
          <w:szCs w:val="20"/>
        </w:rPr>
        <w:t xml:space="preserve"> million, generating net proceeds of </w:t>
      </w:r>
      <w:r>
        <w:rPr>
          <w:sz w:val="20"/>
          <w:szCs w:val="20"/>
        </w:rPr>
        <w:t>$</w:t>
      </w:r>
      <w:r>
        <w:rPr>
          <w:sz w:val="20"/>
          <w:szCs w:val="20"/>
        </w:rPr>
        <w:t>27.</w:t>
      </w:r>
      <w:r>
        <w:rPr>
          <w:sz w:val="20"/>
          <w:szCs w:val="20"/>
        </w:rPr>
        <w:t>8</w:t>
      </w:r>
      <w:r>
        <w:rPr>
          <w:sz w:val="20"/>
          <w:szCs w:val="20"/>
        </w:rPr>
        <w:t xml:space="preserve"> mi</w:t>
      </w:r>
      <w:r>
        <w:rPr>
          <w:sz w:val="20"/>
          <w:szCs w:val="20"/>
        </w:rPr>
        <w:t>llion after the repayment of the debt related to GRES, and other transaction-related costs. Net cash proceeds were used to pay down a portion of the amounts then outstanding under the Company's Revolving Credit Facility. In accordance with a Tax Protection</w:t>
      </w:r>
      <w:r>
        <w:rPr>
          <w:sz w:val="20"/>
          <w:szCs w:val="20"/>
        </w:rPr>
        <w:t xml:space="preserve"> Agreement, the Company agreed to provide certain tax protection payments to the contributing partners of GRES, limited to the cash and certain other resources held by GRES. After recognizing the tax protection payments in connection with this sale, the Co</w:t>
      </w:r>
      <w:r>
        <w:rPr>
          <w:sz w:val="20"/>
          <w:szCs w:val="20"/>
        </w:rPr>
        <w:t xml:space="preserve">mpany reported a net loss on sale of </w:t>
      </w:r>
      <w:r>
        <w:rPr>
          <w:sz w:val="20"/>
          <w:szCs w:val="20"/>
        </w:rPr>
        <w:t>$</w:t>
      </w:r>
      <w:r>
        <w:rPr>
          <w:sz w:val="20"/>
          <w:szCs w:val="20"/>
        </w:rPr>
        <w:t>17.</w:t>
      </w:r>
      <w:r>
        <w:rPr>
          <w:sz w:val="20"/>
          <w:szCs w:val="20"/>
        </w:rPr>
        <w:t>9</w:t>
      </w:r>
      <w:r>
        <w:rPr>
          <w:sz w:val="20"/>
          <w:szCs w:val="20"/>
        </w:rPr>
        <w:t xml:space="preserve"> million during the twelve months ended December 31, 2021. See Note 7 for further discussion regarding the termination of the GRES partnership in September 2021</w:t>
      </w:r>
      <w:r>
        <w:rPr>
          <w:sz w:val="20"/>
          <w:szCs w:val="20"/>
        </w:rPr>
        <w:t>.</w:t>
      </w:r>
    </w:p>
    <w:p w:rsidR="00000000" w:rsidRDefault="006D723D">
      <w:pPr>
        <w:pStyle w:val="a3"/>
        <w:spacing w:before="360" w:beforeAutospacing="0" w:after="0" w:afterAutospacing="0"/>
        <w:ind w:left="476"/>
        <w:jc w:val="both"/>
        <w:divId w:val="1584993884"/>
        <w:rPr>
          <w:sz w:val="20"/>
          <w:szCs w:val="20"/>
        </w:rPr>
      </w:pPr>
      <w:r>
        <w:rPr>
          <w:b/>
          <w:bCs/>
          <w:sz w:val="20"/>
          <w:szCs w:val="20"/>
        </w:rPr>
        <w:t>Financing Leasing Transaction</w:t>
      </w:r>
      <w:r>
        <w:rPr>
          <w:b/>
          <w:bCs/>
          <w:sz w:val="20"/>
          <w:szCs w:val="20"/>
        </w:rPr>
        <w:t>s</w:t>
      </w:r>
    </w:p>
    <w:p w:rsidR="00000000" w:rsidRDefault="006D723D">
      <w:pPr>
        <w:pStyle w:val="a3"/>
        <w:spacing w:before="120" w:beforeAutospacing="0" w:after="0" w:afterAutospacing="0"/>
        <w:ind w:left="476"/>
        <w:jc w:val="both"/>
        <w:divId w:val="1584993884"/>
        <w:rPr>
          <w:sz w:val="20"/>
          <w:szCs w:val="20"/>
        </w:rPr>
      </w:pPr>
      <w:r>
        <w:rPr>
          <w:sz w:val="20"/>
          <w:szCs w:val="20"/>
        </w:rPr>
        <w:t xml:space="preserve">On January 24, 2018, </w:t>
      </w:r>
      <w:r>
        <w:rPr>
          <w:sz w:val="20"/>
          <w:szCs w:val="20"/>
        </w:rPr>
        <w:t>CoreCivic entered into a</w:t>
      </w:r>
      <w:r>
        <w:rPr>
          <w:sz w:val="20"/>
          <w:szCs w:val="20"/>
        </w:rPr>
        <w:t xml:space="preserve"> </w:t>
      </w:r>
      <w:r>
        <w:rPr>
          <w:sz w:val="20"/>
          <w:szCs w:val="20"/>
        </w:rPr>
        <w:t>2</w:t>
      </w:r>
      <w:r>
        <w:rPr>
          <w:sz w:val="20"/>
          <w:szCs w:val="20"/>
        </w:rPr>
        <w:t>0</w:t>
      </w:r>
      <w:r>
        <w:rPr>
          <w:sz w:val="20"/>
          <w:szCs w:val="20"/>
        </w:rPr>
        <w:t>-year lease agreement with the KDOC for a</w:t>
      </w:r>
      <w:r>
        <w:rPr>
          <w:sz w:val="20"/>
          <w:szCs w:val="20"/>
        </w:rPr>
        <w:t xml:space="preserve"> </w:t>
      </w:r>
      <w:r>
        <w:rPr>
          <w:sz w:val="20"/>
          <w:szCs w:val="20"/>
        </w:rPr>
        <w:t>2,43</w:t>
      </w:r>
      <w:r>
        <w:rPr>
          <w:sz w:val="20"/>
          <w:szCs w:val="20"/>
        </w:rPr>
        <w:t>2</w:t>
      </w:r>
      <w:r>
        <w:rPr>
          <w:sz w:val="20"/>
          <w:szCs w:val="20"/>
        </w:rPr>
        <w:t xml:space="preserve">-bed correctional facility to be constructed by the Company in Lansing, Kansas. The new facility replaced the Lansing Correctional Facility, Kansas' largest correctional complex for </w:t>
      </w:r>
      <w:r>
        <w:rPr>
          <w:sz w:val="20"/>
          <w:szCs w:val="20"/>
        </w:rPr>
        <w:t>adult male inmates, originally constructed in 1863. CoreCivic will be responsible for facility maintenance throughout the</w:t>
      </w:r>
      <w:r>
        <w:rPr>
          <w:sz w:val="20"/>
          <w:szCs w:val="20"/>
        </w:rPr>
        <w:t xml:space="preserve"> </w:t>
      </w:r>
      <w:r>
        <w:rPr>
          <w:sz w:val="20"/>
          <w:szCs w:val="20"/>
        </w:rPr>
        <w:t>2</w:t>
      </w:r>
      <w:r>
        <w:rPr>
          <w:sz w:val="20"/>
          <w:szCs w:val="20"/>
        </w:rPr>
        <w:t>0</w:t>
      </w:r>
      <w:r>
        <w:rPr>
          <w:sz w:val="20"/>
          <w:szCs w:val="20"/>
        </w:rPr>
        <w:t>-year term of the lease, at which time ownership will revert to the state of Kansas.</w:t>
      </w:r>
      <w:r>
        <w:rPr>
          <w:sz w:val="20"/>
          <w:szCs w:val="20"/>
        </w:rPr>
        <w:t xml:space="preserve"> </w:t>
      </w:r>
      <w:r>
        <w:rPr>
          <w:sz w:val="20"/>
          <w:szCs w:val="20"/>
        </w:rPr>
        <w:t>Construction of the facility commenced in the f</w:t>
      </w:r>
      <w:r>
        <w:rPr>
          <w:sz w:val="20"/>
          <w:szCs w:val="20"/>
        </w:rPr>
        <w:t>irst quarter of 2018, and construction was completed in January 2020</w:t>
      </w:r>
      <w:r>
        <w:rPr>
          <w:sz w:val="20"/>
          <w:szCs w:val="20"/>
        </w:rPr>
        <w:t>,</w:t>
      </w:r>
      <w:r>
        <w:rPr>
          <w:sz w:val="20"/>
          <w:szCs w:val="20"/>
        </w:rPr>
        <w:t xml:space="preserve"> at which time the lease commenced. CoreCivic accounts for the lease with the KDOC partially as a financing receivable under ASU 2016-02, "Leases (Topic 842)", with the remaining portion </w:t>
      </w:r>
      <w:r>
        <w:rPr>
          <w:sz w:val="20"/>
          <w:szCs w:val="20"/>
        </w:rPr>
        <w:t>of the lease payments attributable to maintenance services and capital expenditures as revenue streams under ASC 606, "Revenue from Contracts with Customers". As of December 31, 2022 and 2021, the financing receivable wa</w:t>
      </w:r>
      <w:r>
        <w:rPr>
          <w:sz w:val="20"/>
          <w:szCs w:val="20"/>
        </w:rPr>
        <w:t>s</w:t>
      </w:r>
      <w:r>
        <w:rPr>
          <w:sz w:val="20"/>
          <w:szCs w:val="20"/>
        </w:rPr>
        <w:t xml:space="preserve"> </w:t>
      </w:r>
      <w:r>
        <w:rPr>
          <w:sz w:val="20"/>
          <w:szCs w:val="20"/>
        </w:rPr>
        <w:t>$</w:t>
      </w:r>
      <w:r>
        <w:rPr>
          <w:sz w:val="20"/>
          <w:szCs w:val="20"/>
        </w:rPr>
        <w:t>142.</w:t>
      </w:r>
      <w:r>
        <w:rPr>
          <w:sz w:val="20"/>
          <w:szCs w:val="20"/>
        </w:rPr>
        <w:t>2</w:t>
      </w:r>
      <w:r>
        <w:rPr>
          <w:sz w:val="20"/>
          <w:szCs w:val="20"/>
        </w:rPr>
        <w:t xml:space="preserve"> million a</w:t>
      </w:r>
      <w:r>
        <w:rPr>
          <w:sz w:val="20"/>
          <w:szCs w:val="20"/>
        </w:rPr>
        <w:t>n</w:t>
      </w:r>
      <w:r>
        <w:rPr>
          <w:sz w:val="20"/>
          <w:szCs w:val="20"/>
        </w:rPr>
        <w:t xml:space="preserve">d </w:t>
      </w:r>
      <w:r>
        <w:rPr>
          <w:sz w:val="20"/>
          <w:szCs w:val="20"/>
        </w:rPr>
        <w:t>$</w:t>
      </w:r>
      <w:r>
        <w:rPr>
          <w:sz w:val="20"/>
          <w:szCs w:val="20"/>
        </w:rPr>
        <w:t>145.</w:t>
      </w:r>
      <w:r>
        <w:rPr>
          <w:sz w:val="20"/>
          <w:szCs w:val="20"/>
        </w:rPr>
        <w:t>0</w:t>
      </w:r>
      <w:r>
        <w:rPr>
          <w:sz w:val="20"/>
          <w:szCs w:val="20"/>
        </w:rPr>
        <w:t xml:space="preserve"> million,</w:t>
      </w:r>
      <w:r>
        <w:rPr>
          <w:sz w:val="20"/>
          <w:szCs w:val="20"/>
        </w:rPr>
        <w:t xml:space="preserve"> respectively, recognized in Other Assets on the consolidated balance sheet. During 2022 and 2021, the Lansing Correctional Facility generat</w:t>
      </w:r>
      <w:r>
        <w:rPr>
          <w:sz w:val="20"/>
          <w:szCs w:val="20"/>
        </w:rPr>
        <w:t>e</w:t>
      </w:r>
      <w:r>
        <w:rPr>
          <w:sz w:val="20"/>
          <w:szCs w:val="20"/>
        </w:rPr>
        <w:t xml:space="preserve">d </w:t>
      </w:r>
      <w:r>
        <w:rPr>
          <w:sz w:val="20"/>
          <w:szCs w:val="20"/>
        </w:rPr>
        <w:t>$</w:t>
      </w:r>
      <w:r>
        <w:rPr>
          <w:sz w:val="20"/>
          <w:szCs w:val="20"/>
        </w:rPr>
        <w:t>2.</w:t>
      </w:r>
      <w:r>
        <w:rPr>
          <w:sz w:val="20"/>
          <w:szCs w:val="20"/>
        </w:rPr>
        <w:t>5</w:t>
      </w:r>
      <w:r>
        <w:rPr>
          <w:sz w:val="20"/>
          <w:szCs w:val="20"/>
        </w:rPr>
        <w:t xml:space="preserve"> million </w:t>
      </w:r>
      <w:r>
        <w:rPr>
          <w:sz w:val="20"/>
          <w:szCs w:val="20"/>
        </w:rPr>
        <w:t>a</w:t>
      </w:r>
      <w:r>
        <w:rPr>
          <w:sz w:val="20"/>
          <w:szCs w:val="20"/>
        </w:rPr>
        <w:t xml:space="preserve">nd </w:t>
      </w:r>
      <w:r>
        <w:rPr>
          <w:sz w:val="20"/>
          <w:szCs w:val="20"/>
        </w:rPr>
        <w:t>$</w:t>
      </w:r>
      <w:r>
        <w:rPr>
          <w:sz w:val="20"/>
          <w:szCs w:val="20"/>
        </w:rPr>
        <w:t>4.</w:t>
      </w:r>
      <w:r>
        <w:rPr>
          <w:sz w:val="20"/>
          <w:szCs w:val="20"/>
        </w:rPr>
        <w:t>5</w:t>
      </w:r>
      <w:r>
        <w:rPr>
          <w:sz w:val="20"/>
          <w:szCs w:val="20"/>
        </w:rPr>
        <w:t xml:space="preserve"> million, respectively, of revenue associated with the non-lease services components of the </w:t>
      </w:r>
      <w:r>
        <w:rPr>
          <w:sz w:val="20"/>
          <w:szCs w:val="20"/>
        </w:rPr>
        <w:t xml:space="preserve">arrangement, and </w:t>
      </w:r>
      <w:r>
        <w:rPr>
          <w:sz w:val="20"/>
          <w:szCs w:val="20"/>
        </w:rPr>
        <w:t>$</w:t>
      </w:r>
      <w:r>
        <w:rPr>
          <w:sz w:val="20"/>
          <w:szCs w:val="20"/>
        </w:rPr>
        <w:t>8.</w:t>
      </w:r>
      <w:r>
        <w:rPr>
          <w:sz w:val="20"/>
          <w:szCs w:val="20"/>
        </w:rPr>
        <w:t>7</w:t>
      </w:r>
      <w:r>
        <w:rPr>
          <w:sz w:val="20"/>
          <w:szCs w:val="20"/>
        </w:rPr>
        <w:t xml:space="preserve"> million and </w:t>
      </w:r>
      <w:r>
        <w:rPr>
          <w:sz w:val="20"/>
          <w:szCs w:val="20"/>
        </w:rPr>
        <w:t>$</w:t>
      </w:r>
      <w:r>
        <w:rPr>
          <w:sz w:val="20"/>
          <w:szCs w:val="20"/>
        </w:rPr>
        <w:t>8.</w:t>
      </w:r>
      <w:r>
        <w:rPr>
          <w:sz w:val="20"/>
          <w:szCs w:val="20"/>
        </w:rPr>
        <w:t>8</w:t>
      </w:r>
      <w:r>
        <w:rPr>
          <w:sz w:val="20"/>
          <w:szCs w:val="20"/>
        </w:rPr>
        <w:t xml:space="preserve"> million of interest income, respectively</w:t>
      </w:r>
      <w:r>
        <w:rPr>
          <w:sz w:val="20"/>
          <w:szCs w:val="20"/>
        </w:rPr>
        <w:t>.</w:t>
      </w:r>
    </w:p>
    <w:p w:rsidR="00000000" w:rsidRDefault="006D723D">
      <w:pPr>
        <w:pStyle w:val="a3"/>
        <w:spacing w:before="360" w:beforeAutospacing="0" w:after="0" w:afterAutospacing="0"/>
        <w:ind w:left="476"/>
        <w:jc w:val="both"/>
        <w:divId w:val="1584993884"/>
        <w:rPr>
          <w:sz w:val="20"/>
          <w:szCs w:val="20"/>
        </w:rPr>
      </w:pPr>
      <w:r>
        <w:rPr>
          <w:b/>
          <w:bCs/>
          <w:sz w:val="20"/>
          <w:szCs w:val="20"/>
        </w:rPr>
        <w:t>Idle Facilitie</w:t>
      </w:r>
      <w:r>
        <w:rPr>
          <w:b/>
          <w:bCs/>
          <w:sz w:val="20"/>
          <w:szCs w:val="20"/>
        </w:rPr>
        <w:t>s</w:t>
      </w:r>
    </w:p>
    <w:p w:rsidR="00000000" w:rsidRDefault="006D723D">
      <w:pPr>
        <w:pStyle w:val="a3"/>
        <w:spacing w:before="120" w:beforeAutospacing="0" w:after="0" w:afterAutospacing="0"/>
        <w:ind w:left="476"/>
        <w:jc w:val="both"/>
        <w:divId w:val="1584993884"/>
        <w:rPr>
          <w:sz w:val="20"/>
          <w:szCs w:val="20"/>
        </w:rPr>
      </w:pPr>
      <w:r>
        <w:rPr>
          <w:sz w:val="20"/>
          <w:szCs w:val="20"/>
        </w:rPr>
        <w:t>As of December 31, 2022, CoreCivic had</w:t>
      </w:r>
      <w:r>
        <w:rPr>
          <w:sz w:val="20"/>
          <w:szCs w:val="20"/>
        </w:rPr>
        <w:t xml:space="preserve"> </w:t>
      </w:r>
      <w:r>
        <w:rPr>
          <w:sz w:val="20"/>
          <w:szCs w:val="20"/>
        </w:rPr>
        <w:t>seve</w:t>
      </w:r>
      <w:r>
        <w:rPr>
          <w:sz w:val="20"/>
          <w:szCs w:val="20"/>
        </w:rPr>
        <w:t>n</w:t>
      </w:r>
      <w:r>
        <w:rPr>
          <w:sz w:val="20"/>
          <w:szCs w:val="20"/>
        </w:rPr>
        <w:t xml:space="preserve"> idled CoreCivic Safety correctional facilities that are currently available and being actively marketed as solutio</w:t>
      </w:r>
      <w:r>
        <w:rPr>
          <w:sz w:val="20"/>
          <w:szCs w:val="20"/>
        </w:rPr>
        <w:t>ns to meet the needs of potential customers.</w:t>
      </w:r>
      <w:r>
        <w:rPr>
          <w:sz w:val="20"/>
          <w:szCs w:val="20"/>
        </w:rPr>
        <w:t xml:space="preserve"> </w:t>
      </w:r>
      <w:r>
        <w:rPr>
          <w:sz w:val="20"/>
          <w:szCs w:val="20"/>
        </w:rPr>
        <w:t>The following table summarizes each of the idled facilities and their respective carrying values, excluding equipment and other assets that could generally be transferred and used at other facilities CoreCivic o</w:t>
      </w:r>
      <w:r>
        <w:rPr>
          <w:sz w:val="20"/>
          <w:szCs w:val="20"/>
        </w:rPr>
        <w:t>wns without significant cost (dollars in thousands)</w:t>
      </w:r>
      <w:r>
        <w:rPr>
          <w:sz w:val="20"/>
          <w:szCs w:val="20"/>
        </w:rPr>
        <w:t>:</w:t>
      </w:r>
    </w:p>
    <w:p w:rsidR="00000000" w:rsidRDefault="006D723D">
      <w:pPr>
        <w:pStyle w:val="a3"/>
        <w:spacing w:before="0" w:beforeAutospacing="0" w:after="0" w:afterAutospacing="0"/>
        <w:ind w:left="476"/>
        <w:jc w:val="both"/>
        <w:divId w:val="203314424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791"/>
        <w:gridCol w:w="118"/>
        <w:gridCol w:w="160"/>
        <w:gridCol w:w="938"/>
        <w:gridCol w:w="110"/>
        <w:gridCol w:w="119"/>
        <w:gridCol w:w="160"/>
        <w:gridCol w:w="954"/>
        <w:gridCol w:w="125"/>
      </w:tblGrid>
      <w:tr w:rsidR="00000000">
        <w:trPr>
          <w:divId w:val="2033144240"/>
          <w:tblCellSpacing w:w="15" w:type="dxa"/>
        </w:trPr>
        <w:tc>
          <w:tcPr>
            <w:tcW w:w="3325" w:type="pct"/>
            <w:vAlign w:val="center"/>
            <w:hideMark/>
          </w:tcPr>
          <w:p w:rsidR="00000000" w:rsidRDefault="006D723D">
            <w:pPr>
              <w:rPr>
                <w:sz w:val="20"/>
                <w:szCs w:val="20"/>
              </w:rPr>
            </w:pPr>
          </w:p>
        </w:tc>
        <w:tc>
          <w:tcPr>
            <w:tcW w:w="80"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51"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80"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6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divId w:val="2033144240"/>
          <w:trHeight w:val="160"/>
          <w:tblCellSpacing w:w="15" w:type="dxa"/>
        </w:trPr>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6D723D">
            <w:pPr>
              <w:pStyle w:val="a3"/>
              <w:spacing w:before="0" w:beforeAutospacing="0" w:after="0" w:afterAutospacing="0"/>
              <w:jc w:val="center"/>
              <w:rPr>
                <w:sz w:val="16"/>
                <w:szCs w:val="16"/>
              </w:rPr>
            </w:pPr>
            <w:r>
              <w:rPr>
                <w:b/>
                <w:bCs/>
                <w:sz w:val="16"/>
                <w:szCs w:val="16"/>
              </w:rPr>
              <w:t>Net Carrying Values at</w:t>
            </w:r>
            <w:r>
              <w:rPr>
                <w:b/>
                <w:bCs/>
                <w:sz w:val="16"/>
                <w:szCs w:val="16"/>
              </w:rPr>
              <w:br/>
              <w:t>December 31</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2033144240"/>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b/>
                <w:bCs/>
                <w:sz w:val="16"/>
                <w:szCs w:val="16"/>
              </w:rPr>
              <w:t>Facilit</w:t>
            </w:r>
            <w:r>
              <w:rPr>
                <w:b/>
                <w:bCs/>
                <w:sz w:val="16"/>
                <w:szCs w:val="16"/>
              </w:rPr>
              <w:t>y</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center"/>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center"/>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center"/>
            <w:hideMark/>
          </w:tcPr>
          <w:p w:rsidR="00000000" w:rsidRDefault="006D723D">
            <w:pPr>
              <w:pStyle w:val="a3"/>
              <w:spacing w:before="0" w:beforeAutospacing="0" w:after="0" w:afterAutospacing="0"/>
              <w:jc w:val="center"/>
              <w:rPr>
                <w:sz w:val="16"/>
                <w:szCs w:val="16"/>
              </w:rPr>
            </w:pPr>
            <w:r>
              <w:rPr>
                <w:sz w:val="16"/>
                <w:szCs w:val="16"/>
              </w:rPr>
              <w:t>202</w:t>
            </w:r>
            <w:r>
              <w:rPr>
                <w:sz w:val="16"/>
                <w:szCs w:val="16"/>
              </w:rPr>
              <w:t>1</w:t>
            </w:r>
          </w:p>
        </w:tc>
        <w:tc>
          <w:tcPr>
            <w:tcW w:w="0" w:type="auto"/>
            <w:vAlign w:val="center"/>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2033144240"/>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sz w:val="20"/>
                <w:szCs w:val="20"/>
              </w:rPr>
              <w:t>Prairie Correctional Facilit</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14,16</w:t>
            </w:r>
            <w:r>
              <w:rPr>
                <w:b/>
                <w:bCs/>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14,41</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2033144240"/>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sz w:val="20"/>
                <w:szCs w:val="20"/>
              </w:rPr>
              <w:t>Huerfano County Correctional Cente</w:t>
            </w:r>
            <w:r>
              <w:rPr>
                <w:sz w:val="20"/>
                <w:szCs w:val="20"/>
              </w:rPr>
              <w:t>r</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14,58</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15,23</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2033144240"/>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sz w:val="20"/>
                <w:szCs w:val="20"/>
              </w:rPr>
              <w:t>Diamondback Correctional Facilit</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35,58</w:t>
            </w:r>
            <w:r>
              <w:rPr>
                <w:b/>
                <w:bCs/>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36,91</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2033144240"/>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sz w:val="20"/>
                <w:szCs w:val="20"/>
              </w:rPr>
              <w:t>Marion Adjustment Cente</w:t>
            </w:r>
            <w:r>
              <w:rPr>
                <w:sz w:val="20"/>
                <w:szCs w:val="20"/>
              </w:rPr>
              <w:t>r</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10,32</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10,74</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2033144240"/>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sz w:val="20"/>
                <w:szCs w:val="20"/>
              </w:rPr>
              <w:t>Kit Carson Correctional Cente</w:t>
            </w:r>
            <w:r>
              <w:rPr>
                <w:sz w:val="20"/>
                <w:szCs w:val="20"/>
              </w:rPr>
              <w:t>r</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49,44</w:t>
            </w:r>
            <w:r>
              <w:rPr>
                <w:b/>
                <w:bCs/>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50,95</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2033144240"/>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sz w:val="20"/>
                <w:szCs w:val="20"/>
              </w:rPr>
              <w:t>West Tennessee Detention Facilit</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19,58</w:t>
            </w:r>
            <w:r>
              <w:rPr>
                <w:b/>
                <w:bCs/>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20,62</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2033144240"/>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sz w:val="20"/>
                <w:szCs w:val="20"/>
              </w:rPr>
              <w:t>Midwest Regional Reception Cente</w:t>
            </w:r>
            <w:r>
              <w:rPr>
                <w:sz w:val="20"/>
                <w:szCs w:val="20"/>
              </w:rPr>
              <w:t>r</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51,93</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54,16</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2033144240"/>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195,62</w:t>
            </w:r>
            <w:r>
              <w:rPr>
                <w:b/>
                <w:bCs/>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203,04</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bl>
    <w:p w:rsidR="00000000" w:rsidRDefault="006D723D">
      <w:pPr>
        <w:pStyle w:val="a3"/>
        <w:spacing w:before="0" w:beforeAutospacing="0" w:after="0" w:afterAutospacing="0"/>
        <w:ind w:left="476"/>
        <w:jc w:val="both"/>
        <w:divId w:val="1584993884"/>
        <w:rPr>
          <w:sz w:val="20"/>
          <w:szCs w:val="20"/>
        </w:rPr>
      </w:pPr>
      <w:r>
        <w:rPr>
          <w:sz w:val="20"/>
          <w:szCs w:val="20"/>
        </w:rPr>
        <w:t> </w:t>
      </w:r>
    </w:p>
    <w:p w:rsidR="00000000" w:rsidRDefault="006D723D">
      <w:pPr>
        <w:pStyle w:val="a3"/>
        <w:spacing w:before="0" w:beforeAutospacing="0" w:after="0" w:afterAutospacing="0"/>
        <w:ind w:left="476"/>
        <w:jc w:val="both"/>
        <w:divId w:val="1584993884"/>
        <w:rPr>
          <w:sz w:val="20"/>
          <w:szCs w:val="20"/>
        </w:rPr>
      </w:pPr>
      <w:r>
        <w:rPr>
          <w:sz w:val="20"/>
          <w:szCs w:val="20"/>
        </w:rPr>
        <w:t> </w:t>
      </w:r>
    </w:p>
    <w:p w:rsidR="00000000" w:rsidRDefault="006D723D">
      <w:pPr>
        <w:pStyle w:val="a3"/>
        <w:spacing w:before="0" w:beforeAutospacing="0" w:after="0" w:afterAutospacing="0"/>
        <w:ind w:left="476"/>
        <w:jc w:val="both"/>
        <w:divId w:val="1584993884"/>
        <w:rPr>
          <w:sz w:val="20"/>
          <w:szCs w:val="20"/>
        </w:rPr>
      </w:pPr>
      <w:r>
        <w:rPr>
          <w:sz w:val="20"/>
          <w:szCs w:val="20"/>
        </w:rPr>
        <w:t>As of December 31, 2022</w:t>
      </w:r>
      <w:r>
        <w:rPr>
          <w:sz w:val="20"/>
          <w:szCs w:val="20"/>
        </w:rPr>
        <w:t>,</w:t>
      </w:r>
      <w:r>
        <w:t xml:space="preserve"> </w:t>
      </w:r>
      <w:r>
        <w:rPr>
          <w:sz w:val="20"/>
          <w:szCs w:val="20"/>
        </w:rPr>
        <w:t>CoreCivic also had</w:t>
      </w:r>
      <w:r>
        <w:rPr>
          <w:sz w:val="20"/>
          <w:szCs w:val="20"/>
        </w:rPr>
        <w:t xml:space="preserve"> </w:t>
      </w:r>
      <w:r>
        <w:rPr>
          <w:sz w:val="20"/>
          <w:szCs w:val="20"/>
        </w:rPr>
        <w:t>on</w:t>
      </w:r>
      <w:r>
        <w:rPr>
          <w:sz w:val="20"/>
          <w:szCs w:val="20"/>
        </w:rPr>
        <w:t>e</w:t>
      </w:r>
      <w:r>
        <w:rPr>
          <w:sz w:val="20"/>
          <w:szCs w:val="20"/>
        </w:rPr>
        <w:t xml:space="preserve"> </w:t>
      </w:r>
      <w:r>
        <w:rPr>
          <w:sz w:val="20"/>
          <w:szCs w:val="20"/>
        </w:rPr>
        <w:t>idled non-core facility in its Safety segment containing</w:t>
      </w:r>
      <w:r>
        <w:rPr>
          <w:sz w:val="20"/>
          <w:szCs w:val="20"/>
        </w:rPr>
        <w:t xml:space="preserve"> </w:t>
      </w:r>
      <w:r>
        <w:rPr>
          <w:sz w:val="20"/>
          <w:szCs w:val="20"/>
        </w:rPr>
        <w:t>24</w:t>
      </w:r>
      <w:r>
        <w:rPr>
          <w:sz w:val="20"/>
          <w:szCs w:val="20"/>
        </w:rPr>
        <w:t>0</w:t>
      </w:r>
      <w:r>
        <w:rPr>
          <w:sz w:val="20"/>
          <w:szCs w:val="20"/>
        </w:rPr>
        <w:t xml:space="preserve"> beds with an aggregate net book value of</w:t>
      </w:r>
      <w:r>
        <w:rPr>
          <w:sz w:val="20"/>
          <w:szCs w:val="20"/>
        </w:rPr>
        <w:t xml:space="preserve"> </w:t>
      </w:r>
      <w:r>
        <w:rPr>
          <w:sz w:val="20"/>
          <w:szCs w:val="20"/>
        </w:rPr>
        <w:t>$</w:t>
      </w:r>
      <w:r>
        <w:rPr>
          <w:sz w:val="20"/>
          <w:szCs w:val="20"/>
        </w:rPr>
        <w:t>3.</w:t>
      </w:r>
      <w:r>
        <w:rPr>
          <w:sz w:val="20"/>
          <w:szCs w:val="20"/>
        </w:rPr>
        <w:t>0</w:t>
      </w:r>
      <w:r>
        <w:rPr>
          <w:sz w:val="20"/>
          <w:szCs w:val="20"/>
        </w:rPr>
        <w:t xml:space="preserve"> millio</w:t>
      </w:r>
      <w:r>
        <w:rPr>
          <w:sz w:val="20"/>
          <w:szCs w:val="20"/>
        </w:rPr>
        <w:t>n</w:t>
      </w:r>
      <w:r>
        <w:rPr>
          <w:sz w:val="20"/>
          <w:szCs w:val="20"/>
        </w:rPr>
        <w:t>, and</w:t>
      </w:r>
      <w:r>
        <w:rPr>
          <w:sz w:val="20"/>
          <w:szCs w:val="20"/>
        </w:rPr>
        <w:t xml:space="preserve"> </w:t>
      </w:r>
      <w:r>
        <w:rPr>
          <w:sz w:val="20"/>
          <w:szCs w:val="20"/>
        </w:rPr>
        <w:t>tw</w:t>
      </w:r>
      <w:r>
        <w:rPr>
          <w:sz w:val="20"/>
          <w:szCs w:val="20"/>
        </w:rPr>
        <w:t>o</w:t>
      </w:r>
      <w:r>
        <w:rPr>
          <w:sz w:val="20"/>
          <w:szCs w:val="20"/>
        </w:rPr>
        <w:t xml:space="preserve"> idled facilities in its Community segment, containing an aggregate of</w:t>
      </w:r>
      <w:r>
        <w:rPr>
          <w:sz w:val="20"/>
          <w:szCs w:val="20"/>
        </w:rPr>
        <w:t xml:space="preserve"> </w:t>
      </w:r>
      <w:r>
        <w:rPr>
          <w:sz w:val="20"/>
          <w:szCs w:val="20"/>
        </w:rPr>
        <w:t>45</w:t>
      </w:r>
      <w:r>
        <w:rPr>
          <w:sz w:val="20"/>
          <w:szCs w:val="20"/>
        </w:rPr>
        <w:t>0</w:t>
      </w:r>
      <w:r>
        <w:rPr>
          <w:sz w:val="20"/>
          <w:szCs w:val="20"/>
        </w:rPr>
        <w:t xml:space="preserve"> beds with an aggregate net book value of</w:t>
      </w:r>
      <w:r>
        <w:rPr>
          <w:sz w:val="20"/>
          <w:szCs w:val="20"/>
        </w:rPr>
        <w:t xml:space="preserve"> </w:t>
      </w:r>
      <w:r>
        <w:rPr>
          <w:sz w:val="20"/>
          <w:szCs w:val="20"/>
        </w:rPr>
        <w:t>$</w:t>
      </w:r>
      <w:r>
        <w:rPr>
          <w:sz w:val="20"/>
          <w:szCs w:val="20"/>
        </w:rPr>
        <w:t>3.</w:t>
      </w:r>
      <w:r>
        <w:rPr>
          <w:sz w:val="20"/>
          <w:szCs w:val="20"/>
        </w:rPr>
        <w:t>5</w:t>
      </w:r>
      <w:r>
        <w:rPr>
          <w:sz w:val="20"/>
          <w:szCs w:val="20"/>
        </w:rPr>
        <w:t xml:space="preserve"> millio</w:t>
      </w:r>
      <w:r>
        <w:rPr>
          <w:sz w:val="20"/>
          <w:szCs w:val="20"/>
        </w:rPr>
        <w:t>n</w:t>
      </w:r>
      <w:r>
        <w:rPr>
          <w:sz w:val="20"/>
          <w:szCs w:val="20"/>
        </w:rPr>
        <w:t>, one</w:t>
      </w:r>
      <w:r>
        <w:rPr>
          <w:sz w:val="20"/>
          <w:szCs w:val="20"/>
        </w:rPr>
        <w:t xml:space="preserve"> of which is a community facility located in Denver, Colorado, classified as held for sale, as previously described herein</w:t>
      </w:r>
      <w:r>
        <w:rPr>
          <w:sz w:val="20"/>
          <w:szCs w:val="20"/>
        </w:rPr>
        <w:t>.</w:t>
      </w:r>
    </w:p>
    <w:p w:rsidR="00000000" w:rsidRDefault="006D723D">
      <w:pPr>
        <w:pStyle w:val="a3"/>
        <w:spacing w:before="0" w:beforeAutospacing="0" w:after="0" w:afterAutospacing="0"/>
        <w:ind w:left="476"/>
        <w:jc w:val="both"/>
        <w:divId w:val="1584993884"/>
        <w:rPr>
          <w:sz w:val="20"/>
          <w:szCs w:val="20"/>
        </w:rPr>
      </w:pPr>
      <w:r>
        <w:rPr>
          <w:sz w:val="20"/>
          <w:szCs w:val="20"/>
        </w:rPr>
        <w:t> </w:t>
      </w:r>
    </w:p>
    <w:p w:rsidR="00000000" w:rsidRDefault="006D723D">
      <w:pPr>
        <w:pStyle w:val="a3"/>
        <w:spacing w:before="0" w:beforeAutospacing="0" w:after="0" w:afterAutospacing="0"/>
        <w:jc w:val="center"/>
        <w:divId w:val="1584993884"/>
        <w:rPr>
          <w:sz w:val="20"/>
          <w:szCs w:val="20"/>
        </w:rPr>
      </w:pPr>
      <w:r>
        <w:rPr>
          <w:sz w:val="20"/>
          <w:szCs w:val="20"/>
        </w:rPr>
        <w:t>F</w:t>
      </w:r>
      <w:r>
        <w:rPr>
          <w:sz w:val="20"/>
          <w:szCs w:val="20"/>
        </w:rPr>
        <w:t>-</w:t>
      </w:r>
      <w:r>
        <w:rPr>
          <w:sz w:val="20"/>
          <w:szCs w:val="20"/>
        </w:rPr>
        <w:t>1</w:t>
      </w:r>
      <w:r>
        <w:rPr>
          <w:sz w:val="20"/>
          <w:szCs w:val="20"/>
        </w:rPr>
        <w:t>9</w:t>
      </w:r>
    </w:p>
    <w:p w:rsidR="00000000" w:rsidRDefault="006D723D">
      <w:pPr>
        <w:divId w:val="1584993884"/>
        <w:rPr>
          <w:rFonts w:eastAsia="Times New Roman"/>
        </w:rPr>
      </w:pPr>
      <w:r>
        <w:rPr>
          <w:rFonts w:eastAsia="Times New Roman"/>
        </w:rPr>
        <w:pict>
          <v:rect id="_x0000_i1147" style="width:0;height:1.5pt" o:hralign="center" o:hrstd="t" o:hr="t" fillcolor="#a0a0a0" stroked="f"/>
        </w:pict>
      </w:r>
    </w:p>
    <w:p w:rsidR="00000000" w:rsidRDefault="006D723D">
      <w:pPr>
        <w:pStyle w:val="a3"/>
        <w:spacing w:before="0" w:beforeAutospacing="0" w:after="0" w:afterAutospacing="0"/>
        <w:divId w:val="1584993884"/>
        <w:rPr>
          <w:sz w:val="20"/>
          <w:szCs w:val="20"/>
        </w:rPr>
      </w:pPr>
      <w:r>
        <w:rPr>
          <w:sz w:val="20"/>
          <w:szCs w:val="20"/>
        </w:rPr>
        <w:t> </w:t>
      </w:r>
    </w:p>
    <w:p w:rsidR="00000000" w:rsidRDefault="006D723D">
      <w:pPr>
        <w:pStyle w:val="a3"/>
        <w:spacing w:before="0" w:beforeAutospacing="0" w:after="0" w:afterAutospacing="0"/>
        <w:ind w:left="476"/>
        <w:jc w:val="both"/>
        <w:divId w:val="1584993884"/>
        <w:rPr>
          <w:sz w:val="20"/>
          <w:szCs w:val="20"/>
        </w:rPr>
      </w:pPr>
      <w:r>
        <w:rPr>
          <w:sz w:val="20"/>
          <w:szCs w:val="20"/>
        </w:rPr>
        <w:t>CoreCivic incurred operating expenses at these idled facilities of approximately</w:t>
      </w:r>
      <w:r>
        <w:rPr>
          <w:sz w:val="20"/>
          <w:szCs w:val="20"/>
        </w:rPr>
        <w:t xml:space="preserve"> </w:t>
      </w:r>
      <w:r>
        <w:rPr>
          <w:sz w:val="20"/>
          <w:szCs w:val="20"/>
        </w:rPr>
        <w:t>$</w:t>
      </w:r>
      <w:r>
        <w:rPr>
          <w:sz w:val="20"/>
          <w:szCs w:val="20"/>
        </w:rPr>
        <w:t>9.</w:t>
      </w:r>
      <w:r>
        <w:rPr>
          <w:sz w:val="20"/>
          <w:szCs w:val="20"/>
        </w:rPr>
        <w:t>7</w:t>
      </w:r>
      <w:r>
        <w:rPr>
          <w:sz w:val="20"/>
          <w:szCs w:val="20"/>
        </w:rPr>
        <w:t xml:space="preserve"> </w:t>
      </w:r>
      <w:r>
        <w:rPr>
          <w:sz w:val="20"/>
          <w:szCs w:val="20"/>
        </w:rPr>
        <w:t>millio</w:t>
      </w:r>
      <w:r>
        <w:rPr>
          <w:sz w:val="20"/>
          <w:szCs w:val="20"/>
        </w:rPr>
        <w:t>n</w:t>
      </w:r>
      <w:r>
        <w:rPr>
          <w:sz w:val="20"/>
          <w:szCs w:val="20"/>
        </w:rPr>
        <w:t>,</w:t>
      </w:r>
      <w:r>
        <w:rPr>
          <w:sz w:val="20"/>
          <w:szCs w:val="20"/>
        </w:rPr>
        <w:t xml:space="preserve"> </w:t>
      </w:r>
      <w:r>
        <w:rPr>
          <w:sz w:val="20"/>
          <w:szCs w:val="20"/>
        </w:rPr>
        <w:t>$</w:t>
      </w:r>
      <w:r>
        <w:rPr>
          <w:sz w:val="20"/>
          <w:szCs w:val="20"/>
        </w:rPr>
        <w:t>7.</w:t>
      </w:r>
      <w:r>
        <w:rPr>
          <w:sz w:val="20"/>
          <w:szCs w:val="20"/>
        </w:rPr>
        <w:t>6</w:t>
      </w:r>
      <w:r>
        <w:rPr>
          <w:sz w:val="20"/>
          <w:szCs w:val="20"/>
        </w:rPr>
        <w:t xml:space="preserve"> millio</w:t>
      </w:r>
      <w:r>
        <w:rPr>
          <w:sz w:val="20"/>
          <w:szCs w:val="20"/>
        </w:rPr>
        <w:t>n</w:t>
      </w:r>
      <w:r>
        <w:rPr>
          <w:sz w:val="20"/>
          <w:szCs w:val="20"/>
        </w:rPr>
        <w:t>, and</w:t>
      </w:r>
      <w:r>
        <w:rPr>
          <w:sz w:val="20"/>
          <w:szCs w:val="20"/>
        </w:rPr>
        <w:t xml:space="preserve"> </w:t>
      </w:r>
      <w:r>
        <w:rPr>
          <w:sz w:val="20"/>
          <w:szCs w:val="20"/>
        </w:rPr>
        <w:t>$</w:t>
      </w:r>
      <w:r>
        <w:rPr>
          <w:sz w:val="20"/>
          <w:szCs w:val="20"/>
        </w:rPr>
        <w:t>7.</w:t>
      </w:r>
      <w:r>
        <w:rPr>
          <w:sz w:val="20"/>
          <w:szCs w:val="20"/>
        </w:rPr>
        <w:t>3</w:t>
      </w:r>
      <w:r>
        <w:rPr>
          <w:sz w:val="20"/>
          <w:szCs w:val="20"/>
        </w:rPr>
        <w:t xml:space="preserve"> millio</w:t>
      </w:r>
      <w:r>
        <w:rPr>
          <w:sz w:val="20"/>
          <w:szCs w:val="20"/>
        </w:rPr>
        <w:t>n</w:t>
      </w:r>
      <w:r>
        <w:rPr>
          <w:sz w:val="20"/>
          <w:szCs w:val="20"/>
        </w:rPr>
        <w:t xml:space="preserve"> during the period they were idle for the years ended December 31, 2022, 2021, and 2020, respectively. The amount for 2021 excludes </w:t>
      </w:r>
      <w:r>
        <w:rPr>
          <w:sz w:val="20"/>
          <w:szCs w:val="20"/>
        </w:rPr>
        <w:t>$</w:t>
      </w:r>
      <w:r>
        <w:rPr>
          <w:sz w:val="20"/>
          <w:szCs w:val="20"/>
        </w:rPr>
        <w:t>2.</w:t>
      </w:r>
      <w:r>
        <w:rPr>
          <w:sz w:val="20"/>
          <w:szCs w:val="20"/>
        </w:rPr>
        <w:t>2</w:t>
      </w:r>
      <w:r>
        <w:rPr>
          <w:sz w:val="20"/>
          <w:szCs w:val="20"/>
        </w:rPr>
        <w:t xml:space="preserve"> million of operating expenses incurred at the West Tennessee Detention Facility </w:t>
      </w:r>
      <w:r>
        <w:rPr>
          <w:sz w:val="20"/>
          <w:szCs w:val="20"/>
        </w:rPr>
        <w:t xml:space="preserve">during the fourth quarter of 2021. The amount for 2022 excludes </w:t>
      </w:r>
      <w:r>
        <w:rPr>
          <w:sz w:val="20"/>
          <w:szCs w:val="20"/>
        </w:rPr>
        <w:t>$</w:t>
      </w:r>
      <w:r>
        <w:rPr>
          <w:sz w:val="20"/>
          <w:szCs w:val="20"/>
        </w:rPr>
        <w:t>3.</w:t>
      </w:r>
      <w:r>
        <w:rPr>
          <w:sz w:val="20"/>
          <w:szCs w:val="20"/>
        </w:rPr>
        <w:t>5</w:t>
      </w:r>
      <w:r>
        <w:rPr>
          <w:sz w:val="20"/>
          <w:szCs w:val="20"/>
        </w:rPr>
        <w:t xml:space="preserve"> million of operating expenses incurred at the West Tennessee Detention Facility and the Midwest Regional Reception Center (formerly known as the Leavenworth Detention Center) during the t</w:t>
      </w:r>
      <w:r>
        <w:rPr>
          <w:sz w:val="20"/>
          <w:szCs w:val="20"/>
        </w:rPr>
        <w:t>hree months ended March 31, 2022. The West Tennessee facility was idled upon the expiration of a USMS contract on September 30, 2021, and the Midwest Regional Reception Center was idled upon the expiration of a USMS contract on December 31, 2021. CoreCivic</w:t>
      </w:r>
      <w:r>
        <w:rPr>
          <w:sz w:val="20"/>
          <w:szCs w:val="20"/>
        </w:rPr>
        <w:t xml:space="preserve"> retained a certain staffing level at both facilities through the first three months of 2022 in order to quickly respond in the event the Company was able to enter into new contracts with government agencies promptly following the contract expirations. The</w:t>
      </w:r>
      <w:r>
        <w:rPr>
          <w:sz w:val="20"/>
          <w:szCs w:val="20"/>
        </w:rPr>
        <w:t xml:space="preserve"> Company also continued to incur expenses related to transportation services provided by staff at the Midwest Regional Reception Center during the first three months of 2022</w:t>
      </w:r>
      <w:r>
        <w:rPr>
          <w:sz w:val="20"/>
          <w:szCs w:val="20"/>
        </w:rPr>
        <w:t>.</w:t>
      </w:r>
      <w:r>
        <w:rPr>
          <w:sz w:val="20"/>
          <w:szCs w:val="20"/>
        </w:rPr>
        <w:t xml:space="preserve"> </w:t>
      </w:r>
    </w:p>
    <w:p w:rsidR="00000000" w:rsidRDefault="006D723D">
      <w:pPr>
        <w:pStyle w:val="a3"/>
        <w:spacing w:before="240" w:beforeAutospacing="0" w:after="240" w:afterAutospacing="0"/>
        <w:ind w:left="476"/>
        <w:jc w:val="both"/>
        <w:divId w:val="1584993884"/>
        <w:rPr>
          <w:sz w:val="20"/>
          <w:szCs w:val="20"/>
        </w:rPr>
      </w:pPr>
      <w:r>
        <w:rPr>
          <w:sz w:val="20"/>
          <w:szCs w:val="20"/>
        </w:rPr>
        <w:t xml:space="preserve">On December 6, 2022, the Company received notice from the California Department </w:t>
      </w:r>
      <w:r>
        <w:rPr>
          <w:sz w:val="20"/>
          <w:szCs w:val="20"/>
        </w:rPr>
        <w:t>of Corrections and Rehabilitation ("CDCR") of its intent to terminate the lease agreement for the Company's California City Correctional Center by March 31, 2024, due to the state's declining inmate population. The lease agreement is fully funded through t</w:t>
      </w:r>
      <w:r>
        <w:rPr>
          <w:sz w:val="20"/>
          <w:szCs w:val="20"/>
        </w:rPr>
        <w:t>he state of California's current fiscal year ending June 30, 2023. Funding for the lease of the facility for the 2024 fiscal year, beginning July 1, 2023, will be determined in the California legislature in the first half of 2023 as part of the annual budg</w:t>
      </w:r>
      <w:r>
        <w:rPr>
          <w:sz w:val="20"/>
          <w:szCs w:val="20"/>
        </w:rPr>
        <w:t>et process. As part of this process, the Company plans to engage with the state of California regarding the continued utilization of the California City facility by the CDCR. However, the Company can provide no assurance that it will be successful in reach</w:t>
      </w:r>
      <w:r>
        <w:rPr>
          <w:sz w:val="20"/>
          <w:szCs w:val="20"/>
        </w:rPr>
        <w:t>ing an agreement for the utilization of the facility beyond June 30, 2023</w:t>
      </w:r>
      <w:r>
        <w:rPr>
          <w:sz w:val="20"/>
          <w:szCs w:val="20"/>
        </w:rPr>
        <w:t>.</w:t>
      </w:r>
    </w:p>
    <w:p w:rsidR="00000000" w:rsidRDefault="006D723D">
      <w:pPr>
        <w:pStyle w:val="a3"/>
        <w:spacing w:before="240" w:beforeAutospacing="0" w:after="0" w:afterAutospacing="0"/>
        <w:ind w:left="476"/>
        <w:jc w:val="both"/>
        <w:divId w:val="1584993884"/>
        <w:rPr>
          <w:sz w:val="20"/>
          <w:szCs w:val="20"/>
        </w:rPr>
      </w:pPr>
      <w:r>
        <w:rPr>
          <w:sz w:val="20"/>
          <w:szCs w:val="20"/>
        </w:rPr>
        <w:t>The Company estimated undiscounted cash flows for each facility with an impairment indicator, including the idle facilities described above. The Company's estimated undiscounted cash flows reflect the Company’s most recent expectations around potential uti</w:t>
      </w:r>
      <w:r>
        <w:rPr>
          <w:sz w:val="20"/>
          <w:szCs w:val="20"/>
        </w:rPr>
        <w:t>lization and/or sale of the facilities and projected cash flows based on historical cash flows, cash flows of comparable facilities, and recent contract negotiations for utilization, as applicable. The Company concluded that the estimated undiscounted cash</w:t>
      </w:r>
      <w:r>
        <w:rPr>
          <w:sz w:val="20"/>
          <w:szCs w:val="20"/>
        </w:rPr>
        <w:t xml:space="preserve"> flows exceeded carrying values for each facility as of December 31, 2022 and December 31, 2021</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1584993884"/>
        <w:rPr>
          <w:sz w:val="20"/>
          <w:szCs w:val="20"/>
        </w:rPr>
      </w:pPr>
      <w:r>
        <w:rPr>
          <w:sz w:val="20"/>
          <w:szCs w:val="20"/>
        </w:rPr>
        <w:t>CoreCivic evaluates on a quarterly basis market developments for the potential utilization of each of its idle properties in order to identify events that may</w:t>
      </w:r>
      <w:r>
        <w:rPr>
          <w:sz w:val="20"/>
          <w:szCs w:val="20"/>
        </w:rPr>
        <w:t xml:space="preserve"> cause CoreCivic to reconsider its assumptions with respect to the recoverability of book values as compared to undiscounted cash flows. CoreCivic considers the cancellation of a contract in its Safety or Community segment or an expiration and non-renewal </w:t>
      </w:r>
      <w:r>
        <w:rPr>
          <w:sz w:val="20"/>
          <w:szCs w:val="20"/>
        </w:rPr>
        <w:t>of a lease agreement in its CoreCivic Properties segment as indicators of impairment and tests each of the idled properties for impairment when it was notified by the respective customers or tenants that they would no longer be utilizing such property</w:t>
      </w:r>
      <w:r>
        <w:rPr>
          <w:sz w:val="20"/>
          <w:szCs w:val="20"/>
        </w:rPr>
        <w:t>.</w:t>
      </w:r>
    </w:p>
    <w:p w:rsidR="00000000" w:rsidRDefault="006D723D">
      <w:pPr>
        <w:jc w:val="both"/>
        <w:divId w:val="1541551093"/>
        <w:rPr>
          <w:rFonts w:eastAsia="Times New Roman"/>
          <w:sz w:val="20"/>
          <w:szCs w:val="20"/>
        </w:rPr>
      </w:pPr>
      <w:r>
        <w:rPr>
          <w:rFonts w:eastAsia="Times New Roman"/>
          <w:b/>
          <w:bCs/>
          <w:sz w:val="20"/>
          <w:szCs w:val="20"/>
        </w:rPr>
        <w:t>7</w:t>
      </w:r>
      <w:r>
        <w:rPr>
          <w:rFonts w:eastAsia="Times New Roman"/>
          <w:b/>
          <w:bCs/>
          <w:sz w:val="20"/>
          <w:szCs w:val="20"/>
        </w:rPr>
        <w:t>.</w:t>
      </w:r>
    </w:p>
    <w:p w:rsidR="00000000" w:rsidRDefault="006D723D">
      <w:pPr>
        <w:jc w:val="both"/>
        <w:divId w:val="1219050356"/>
        <w:rPr>
          <w:rFonts w:eastAsia="Times New Roman"/>
          <w:sz w:val="20"/>
          <w:szCs w:val="20"/>
        </w:rPr>
      </w:pPr>
      <w:r>
        <w:rPr>
          <w:rFonts w:eastAsia="Times New Roman"/>
          <w:b/>
          <w:bCs/>
          <w:sz w:val="20"/>
          <w:szCs w:val="20"/>
        </w:rPr>
        <w:t>INVESTMENT IN AFFILIAT</w:t>
      </w:r>
      <w:r>
        <w:rPr>
          <w:rFonts w:eastAsia="Times New Roman"/>
          <w:b/>
          <w:bCs/>
          <w:sz w:val="20"/>
          <w:szCs w:val="20"/>
        </w:rPr>
        <w:t>E</w:t>
      </w:r>
    </w:p>
    <w:p w:rsidR="00000000" w:rsidRDefault="006D723D">
      <w:pPr>
        <w:pStyle w:val="a3"/>
        <w:spacing w:before="120" w:beforeAutospacing="0" w:after="0" w:afterAutospacing="0"/>
        <w:ind w:left="476"/>
        <w:jc w:val="both"/>
        <w:divId w:val="1283271598"/>
        <w:rPr>
          <w:sz w:val="20"/>
          <w:szCs w:val="20"/>
        </w:rPr>
      </w:pPr>
      <w:r>
        <w:rPr>
          <w:sz w:val="20"/>
          <w:szCs w:val="20"/>
        </w:rPr>
        <w:t>CoreCivic has a</w:t>
      </w:r>
      <w:r>
        <w:rPr>
          <w:sz w:val="20"/>
          <w:szCs w:val="20"/>
        </w:rPr>
        <w:t xml:space="preserve"> </w:t>
      </w:r>
      <w:r>
        <w:rPr>
          <w:sz w:val="20"/>
          <w:szCs w:val="20"/>
        </w:rPr>
        <w:t>5</w:t>
      </w:r>
      <w:r>
        <w:rPr>
          <w:sz w:val="20"/>
          <w:szCs w:val="20"/>
        </w:rPr>
        <w:t>0</w:t>
      </w:r>
      <w:r>
        <w:rPr>
          <w:sz w:val="20"/>
          <w:szCs w:val="20"/>
        </w:rPr>
        <w:t>% ownership interest in APM, an entity holding the management contract for a correctional facility, HM Prison Forest Bank, under a</w:t>
      </w:r>
      <w:r>
        <w:rPr>
          <w:sz w:val="20"/>
          <w:szCs w:val="20"/>
        </w:rPr>
        <w:t xml:space="preserve"> </w:t>
      </w:r>
      <w:r>
        <w:rPr>
          <w:sz w:val="20"/>
          <w:szCs w:val="20"/>
        </w:rPr>
        <w:t>2</w:t>
      </w:r>
      <w:r>
        <w:rPr>
          <w:sz w:val="20"/>
          <w:szCs w:val="20"/>
        </w:rPr>
        <w:t>5</w:t>
      </w:r>
      <w:r>
        <w:rPr>
          <w:sz w:val="20"/>
          <w:szCs w:val="20"/>
        </w:rPr>
        <w:t>-year prison management contract with an agency of the United Kingdom government.</w:t>
      </w:r>
      <w:r>
        <w:rPr>
          <w:sz w:val="20"/>
          <w:szCs w:val="20"/>
        </w:rPr>
        <w:t xml:space="preserve"> CoreCivic has determined that its joint venture investment in APM represents a variable interest entity ("VIE") in accordance with ASC 810, "Consolidation" of which CoreCivic is not the primary beneficiary. The Forest Bank facility, located in Salford, En</w:t>
      </w:r>
      <w:r>
        <w:rPr>
          <w:sz w:val="20"/>
          <w:szCs w:val="20"/>
        </w:rPr>
        <w:t>gland, which was sold in April 2001, was previously constructed and owned by a wholly-owned subsidiary of CoreCivic. All gains and losses under the joint venture are accounted for using the equity method of accounting. During 2000, CoreCivic extended a wor</w:t>
      </w:r>
      <w:r>
        <w:rPr>
          <w:sz w:val="20"/>
          <w:szCs w:val="20"/>
        </w:rPr>
        <w:t xml:space="preserve">king capital loan to APM, which has an outstanding balance of </w:t>
      </w:r>
      <w:r>
        <w:rPr>
          <w:sz w:val="20"/>
          <w:szCs w:val="20"/>
        </w:rPr>
        <w:t>$</w:t>
      </w:r>
      <w:r>
        <w:rPr>
          <w:sz w:val="20"/>
          <w:szCs w:val="20"/>
        </w:rPr>
        <w:t>2.</w:t>
      </w:r>
      <w:r>
        <w:rPr>
          <w:sz w:val="20"/>
          <w:szCs w:val="20"/>
        </w:rPr>
        <w:t>7</w:t>
      </w:r>
      <w:r>
        <w:rPr>
          <w:sz w:val="20"/>
          <w:szCs w:val="20"/>
        </w:rPr>
        <w:t xml:space="preserve"> million as of December 31, 2022</w:t>
      </w:r>
      <w:r>
        <w:rPr>
          <w:sz w:val="20"/>
          <w:szCs w:val="20"/>
        </w:rPr>
        <w:t>.</w:t>
      </w:r>
    </w:p>
    <w:p w:rsidR="00000000" w:rsidRDefault="006D723D">
      <w:pPr>
        <w:pStyle w:val="a3"/>
        <w:spacing w:before="240" w:beforeAutospacing="0" w:after="0" w:afterAutospacing="0"/>
        <w:ind w:left="476"/>
        <w:jc w:val="both"/>
        <w:divId w:val="1283271598"/>
        <w:rPr>
          <w:sz w:val="20"/>
          <w:szCs w:val="20"/>
        </w:rPr>
      </w:pPr>
      <w:r>
        <w:rPr>
          <w:sz w:val="20"/>
          <w:szCs w:val="20"/>
        </w:rPr>
        <w:t>For the years ended December 31, 2022, 2021, and 2020, equity in losses of the joint venture was</w:t>
      </w:r>
      <w:r>
        <w:rPr>
          <w:sz w:val="20"/>
          <w:szCs w:val="20"/>
        </w:rPr>
        <w:t xml:space="preserve"> </w:t>
      </w:r>
      <w:r>
        <w:rPr>
          <w:sz w:val="20"/>
          <w:szCs w:val="20"/>
        </w:rPr>
        <w:t>$</w:t>
      </w:r>
      <w:r>
        <w:rPr>
          <w:sz w:val="20"/>
          <w:szCs w:val="20"/>
        </w:rPr>
        <w:t>124,00</w:t>
      </w:r>
      <w:r>
        <w:rPr>
          <w:sz w:val="20"/>
          <w:szCs w:val="20"/>
        </w:rPr>
        <w:t>0</w:t>
      </w:r>
      <w:r>
        <w:rPr>
          <w:sz w:val="20"/>
          <w:szCs w:val="20"/>
        </w:rPr>
        <w:t>,</w:t>
      </w:r>
      <w:r>
        <w:rPr>
          <w:sz w:val="20"/>
          <w:szCs w:val="20"/>
        </w:rPr>
        <w:t xml:space="preserve"> </w:t>
      </w:r>
      <w:r>
        <w:rPr>
          <w:sz w:val="20"/>
          <w:szCs w:val="20"/>
        </w:rPr>
        <w:t>$</w:t>
      </w:r>
      <w:r>
        <w:rPr>
          <w:sz w:val="20"/>
          <w:szCs w:val="20"/>
        </w:rPr>
        <w:t>138,00</w:t>
      </w:r>
      <w:r>
        <w:rPr>
          <w:sz w:val="20"/>
          <w:szCs w:val="20"/>
        </w:rPr>
        <w:t>0</w:t>
      </w:r>
      <w:r>
        <w:rPr>
          <w:sz w:val="20"/>
          <w:szCs w:val="20"/>
        </w:rPr>
        <w:t xml:space="preserve">, and </w:t>
      </w:r>
      <w:r>
        <w:rPr>
          <w:sz w:val="20"/>
          <w:szCs w:val="20"/>
        </w:rPr>
        <w:t>$</w:t>
      </w:r>
      <w:r>
        <w:rPr>
          <w:sz w:val="20"/>
          <w:szCs w:val="20"/>
        </w:rPr>
        <w:t>192,00</w:t>
      </w:r>
      <w:r>
        <w:rPr>
          <w:sz w:val="20"/>
          <w:szCs w:val="20"/>
        </w:rPr>
        <w:t>0</w:t>
      </w:r>
      <w:r>
        <w:rPr>
          <w:sz w:val="20"/>
          <w:szCs w:val="20"/>
        </w:rPr>
        <w:t xml:space="preserve">, respectively. The equity </w:t>
      </w:r>
      <w:r>
        <w:rPr>
          <w:sz w:val="20"/>
          <w:szCs w:val="20"/>
        </w:rPr>
        <w:t xml:space="preserve">in losses of the joint venture is included in other income (expense) in the consolidated statements of operations. As of December 31, 2022, the equity in the net deficit of APM was </w:t>
      </w:r>
      <w:r>
        <w:rPr>
          <w:sz w:val="20"/>
          <w:szCs w:val="20"/>
        </w:rPr>
        <w:t>$</w:t>
      </w:r>
      <w:r>
        <w:rPr>
          <w:sz w:val="20"/>
          <w:szCs w:val="20"/>
        </w:rPr>
        <w:t>0.</w:t>
      </w:r>
      <w:r>
        <w:rPr>
          <w:sz w:val="20"/>
          <w:szCs w:val="20"/>
        </w:rPr>
        <w:t>1</w:t>
      </w:r>
      <w:r>
        <w:rPr>
          <w:sz w:val="20"/>
          <w:szCs w:val="20"/>
        </w:rPr>
        <w:t xml:space="preserve"> million and is applied as a reduction in the carrying value of the out</w:t>
      </w:r>
      <w:r>
        <w:rPr>
          <w:sz w:val="20"/>
          <w:szCs w:val="20"/>
        </w:rPr>
        <w:t xml:space="preserve">standing working capital loan of </w:t>
      </w:r>
      <w:r>
        <w:rPr>
          <w:sz w:val="20"/>
          <w:szCs w:val="20"/>
        </w:rPr>
        <w:t>$</w:t>
      </w:r>
      <w:r>
        <w:rPr>
          <w:sz w:val="20"/>
          <w:szCs w:val="20"/>
        </w:rPr>
        <w:t>2.</w:t>
      </w:r>
      <w:r>
        <w:rPr>
          <w:sz w:val="20"/>
          <w:szCs w:val="20"/>
        </w:rPr>
        <w:t>7</w:t>
      </w:r>
      <w:r>
        <w:rPr>
          <w:sz w:val="20"/>
          <w:szCs w:val="20"/>
        </w:rPr>
        <w:t xml:space="preserve"> million, which is reported in other assets on the accompanying consolidated balance sheets, and represents CoreCivic's maximum exposure to loss in connection with APM</w:t>
      </w:r>
      <w:r>
        <w:rPr>
          <w:sz w:val="20"/>
          <w:szCs w:val="20"/>
        </w:rPr>
        <w:t>.</w:t>
      </w:r>
    </w:p>
    <w:p w:rsidR="00000000" w:rsidRDefault="006D723D">
      <w:pPr>
        <w:pStyle w:val="a3"/>
        <w:spacing w:before="0" w:beforeAutospacing="0" w:after="0" w:afterAutospacing="0"/>
        <w:jc w:val="center"/>
        <w:divId w:val="1283271598"/>
        <w:rPr>
          <w:sz w:val="20"/>
          <w:szCs w:val="20"/>
        </w:rPr>
      </w:pPr>
      <w:r>
        <w:rPr>
          <w:sz w:val="20"/>
          <w:szCs w:val="20"/>
        </w:rPr>
        <w:t>F</w:t>
      </w:r>
      <w:r>
        <w:rPr>
          <w:sz w:val="20"/>
          <w:szCs w:val="20"/>
        </w:rPr>
        <w:t>-</w:t>
      </w:r>
      <w:r>
        <w:rPr>
          <w:sz w:val="20"/>
          <w:szCs w:val="20"/>
        </w:rPr>
        <w:t>2</w:t>
      </w:r>
      <w:r>
        <w:rPr>
          <w:sz w:val="20"/>
          <w:szCs w:val="20"/>
        </w:rPr>
        <w:t>0</w:t>
      </w:r>
    </w:p>
    <w:p w:rsidR="00000000" w:rsidRDefault="006D723D">
      <w:pPr>
        <w:divId w:val="1283271598"/>
        <w:rPr>
          <w:rFonts w:eastAsia="Times New Roman"/>
          <w:sz w:val="20"/>
          <w:szCs w:val="20"/>
        </w:rPr>
      </w:pPr>
      <w:r>
        <w:rPr>
          <w:rFonts w:eastAsia="Times New Roman"/>
          <w:sz w:val="20"/>
          <w:szCs w:val="20"/>
        </w:rPr>
        <w:pict>
          <v:rect id="_x0000_i1148" style="width:0;height:1.5pt" o:hralign="center" o:hrstd="t" o:hr="t" fillcolor="#a0a0a0" stroked="f"/>
        </w:pict>
      </w:r>
    </w:p>
    <w:p w:rsidR="00000000" w:rsidRDefault="006D723D">
      <w:pPr>
        <w:pStyle w:val="a3"/>
        <w:spacing w:before="0" w:beforeAutospacing="0" w:after="0" w:afterAutospacing="0"/>
        <w:divId w:val="1283271598"/>
        <w:rPr>
          <w:sz w:val="20"/>
          <w:szCs w:val="20"/>
        </w:rPr>
      </w:pPr>
      <w:r>
        <w:rPr>
          <w:sz w:val="20"/>
          <w:szCs w:val="20"/>
        </w:rPr>
        <w:t> </w:t>
      </w:r>
    </w:p>
    <w:p w:rsidR="00000000" w:rsidRDefault="006D723D">
      <w:pPr>
        <w:pStyle w:val="a3"/>
        <w:spacing w:before="240" w:beforeAutospacing="0" w:after="0" w:afterAutospacing="0"/>
        <w:ind w:left="476"/>
        <w:jc w:val="both"/>
        <w:divId w:val="1283271598"/>
        <w:rPr>
          <w:sz w:val="20"/>
          <w:szCs w:val="20"/>
        </w:rPr>
      </w:pPr>
      <w:r>
        <w:rPr>
          <w:sz w:val="20"/>
          <w:szCs w:val="20"/>
        </w:rPr>
        <w:t>CoreCi</w:t>
      </w:r>
      <w:r>
        <w:rPr>
          <w:sz w:val="20"/>
          <w:szCs w:val="20"/>
        </w:rPr>
        <w:t>vic determined that its January 2020 joint venture investment in GRES also represented a VIE. CoreCivic had</w:t>
      </w:r>
      <w:r>
        <w:rPr>
          <w:sz w:val="20"/>
          <w:szCs w:val="20"/>
        </w:rPr>
        <w:t xml:space="preserve"> </w:t>
      </w:r>
      <w:r>
        <w:rPr>
          <w:sz w:val="20"/>
          <w:szCs w:val="20"/>
        </w:rPr>
        <w:t>10</w:t>
      </w:r>
      <w:r>
        <w:rPr>
          <w:sz w:val="20"/>
          <w:szCs w:val="20"/>
        </w:rPr>
        <w:t>0</w:t>
      </w:r>
      <w:r>
        <w:rPr>
          <w:sz w:val="20"/>
          <w:szCs w:val="20"/>
        </w:rPr>
        <w:t>% voting control in GRES. Accordingly, CoreCivic concluded that it was the primary beneficiary of GRES and consolidated the VIE. The primary bene</w:t>
      </w:r>
      <w:r>
        <w:rPr>
          <w:sz w:val="20"/>
          <w:szCs w:val="20"/>
        </w:rPr>
        <w:t>ficiary is the entity that has (i) the power to direct the activities that most significantly impact the entity's economic performance and (ii) the obligation to absorb losses of the VIE or the right to receive benefits from the VIE that could be significa</w:t>
      </w:r>
      <w:r>
        <w:rPr>
          <w:sz w:val="20"/>
          <w:szCs w:val="20"/>
        </w:rPr>
        <w:t>nt to the VIE</w:t>
      </w:r>
      <w:r>
        <w:rPr>
          <w:sz w:val="20"/>
          <w:szCs w:val="20"/>
        </w:rPr>
        <w:t>.</w:t>
      </w:r>
      <w:r>
        <w:rPr>
          <w:b/>
          <w:bCs/>
          <w:sz w:val="20"/>
          <w:szCs w:val="20"/>
        </w:rPr>
        <w:t xml:space="preserve"> </w:t>
      </w:r>
      <w:r>
        <w:rPr>
          <w:sz w:val="20"/>
          <w:szCs w:val="20"/>
        </w:rPr>
        <w:t>During June 2021, CoreCivic provided notice to the partners of GRES of its intent to distribute the remaining assets and terminate the partnership. The Company terminated the partnership in September 2021 and cancelled the Operating Partners</w:t>
      </w:r>
      <w:r>
        <w:rPr>
          <w:sz w:val="20"/>
          <w:szCs w:val="20"/>
        </w:rPr>
        <w:t xml:space="preserve">hip Units for no consideration. During the third quarter of 2021, the Company reported an increase to stockholders' equity of </w:t>
      </w:r>
      <w:r>
        <w:rPr>
          <w:sz w:val="20"/>
          <w:szCs w:val="20"/>
        </w:rPr>
        <w:t>$</w:t>
      </w:r>
      <w:r>
        <w:rPr>
          <w:sz w:val="20"/>
          <w:szCs w:val="20"/>
        </w:rPr>
        <w:t>17.</w:t>
      </w:r>
      <w:r>
        <w:rPr>
          <w:sz w:val="20"/>
          <w:szCs w:val="20"/>
        </w:rPr>
        <w:t>4</w:t>
      </w:r>
      <w:r>
        <w:rPr>
          <w:sz w:val="20"/>
          <w:szCs w:val="20"/>
        </w:rPr>
        <w:t xml:space="preserve"> million resulting from the termination of the partnership</w:t>
      </w:r>
      <w:r>
        <w:rPr>
          <w:sz w:val="20"/>
          <w:szCs w:val="20"/>
        </w:rPr>
        <w:t>.</w:t>
      </w:r>
      <w:r>
        <w:rPr>
          <w:sz w:val="20"/>
          <w:szCs w:val="20"/>
        </w:rPr>
        <w:t xml:space="preserve"> </w:t>
      </w:r>
    </w:p>
    <w:p w:rsidR="00000000" w:rsidRDefault="006D723D">
      <w:pPr>
        <w:jc w:val="both"/>
        <w:divId w:val="1833136324"/>
        <w:rPr>
          <w:rFonts w:eastAsia="Times New Roman"/>
        </w:rPr>
      </w:pPr>
      <w:r>
        <w:rPr>
          <w:rFonts w:eastAsia="Times New Roman"/>
          <w:b/>
          <w:bCs/>
          <w:sz w:val="20"/>
          <w:szCs w:val="20"/>
        </w:rPr>
        <w:t>8</w:t>
      </w:r>
      <w:r>
        <w:rPr>
          <w:rFonts w:eastAsia="Times New Roman"/>
          <w:b/>
          <w:bCs/>
          <w:sz w:val="20"/>
          <w:szCs w:val="20"/>
        </w:rPr>
        <w:t>.</w:t>
      </w:r>
    </w:p>
    <w:p w:rsidR="00000000" w:rsidRDefault="006D723D">
      <w:pPr>
        <w:jc w:val="both"/>
        <w:divId w:val="1499226699"/>
        <w:rPr>
          <w:rFonts w:eastAsia="Times New Roman"/>
        </w:rPr>
      </w:pPr>
      <w:r>
        <w:rPr>
          <w:rFonts w:eastAsia="Times New Roman"/>
          <w:b/>
          <w:bCs/>
          <w:sz w:val="20"/>
          <w:szCs w:val="20"/>
        </w:rPr>
        <w:t>OTHER ASSET</w:t>
      </w:r>
      <w:r>
        <w:rPr>
          <w:rFonts w:eastAsia="Times New Roman"/>
          <w:b/>
          <w:bCs/>
          <w:sz w:val="20"/>
          <w:szCs w:val="20"/>
        </w:rPr>
        <w:t>S</w:t>
      </w:r>
    </w:p>
    <w:p w:rsidR="00000000" w:rsidRDefault="006D723D">
      <w:pPr>
        <w:pStyle w:val="a3"/>
        <w:spacing w:before="120" w:beforeAutospacing="0" w:after="0" w:afterAutospacing="0"/>
        <w:ind w:left="476"/>
        <w:jc w:val="both"/>
        <w:divId w:val="1437367675"/>
        <w:rPr>
          <w:sz w:val="20"/>
          <w:szCs w:val="20"/>
        </w:rPr>
      </w:pPr>
      <w:r>
        <w:rPr>
          <w:sz w:val="20"/>
          <w:szCs w:val="20"/>
        </w:rPr>
        <w:t>Other assets consist of the following (in thousa</w:t>
      </w:r>
      <w:r>
        <w:rPr>
          <w:sz w:val="20"/>
          <w:szCs w:val="20"/>
        </w:rPr>
        <w:t>nds)</w:t>
      </w:r>
      <w:r>
        <w:rPr>
          <w:sz w:val="20"/>
          <w:szCs w:val="20"/>
        </w:rPr>
        <w:t>:</w:t>
      </w:r>
    </w:p>
    <w:p w:rsidR="00000000" w:rsidRDefault="006D723D">
      <w:pPr>
        <w:pStyle w:val="a3"/>
        <w:spacing w:before="0" w:beforeAutospacing="0" w:after="0" w:afterAutospacing="0"/>
        <w:jc w:val="both"/>
        <w:divId w:val="1437367675"/>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771"/>
        <w:gridCol w:w="126"/>
        <w:gridCol w:w="160"/>
        <w:gridCol w:w="940"/>
        <w:gridCol w:w="110"/>
        <w:gridCol w:w="126"/>
        <w:gridCol w:w="160"/>
        <w:gridCol w:w="957"/>
        <w:gridCol w:w="125"/>
      </w:tblGrid>
      <w:tr w:rsidR="00000000">
        <w:trPr>
          <w:divId w:val="1437367675"/>
          <w:tblCellSpacing w:w="15" w:type="dxa"/>
        </w:trPr>
        <w:tc>
          <w:tcPr>
            <w:tcW w:w="3311" w:type="pct"/>
            <w:vAlign w:val="center"/>
            <w:hideMark/>
          </w:tcPr>
          <w:p w:rsidR="00000000" w:rsidRDefault="006D723D">
            <w:pPr>
              <w:rPr>
                <w:sz w:val="20"/>
                <w:szCs w:val="20"/>
              </w:rPr>
            </w:pPr>
          </w:p>
        </w:tc>
        <w:tc>
          <w:tcPr>
            <w:tcW w:w="8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5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85"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6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divId w:val="1437367675"/>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6D723D">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1437367675"/>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1437367675"/>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 xml:space="preserve">Intangible assets, less accumulated amortization </w:t>
            </w:r>
            <w:r>
              <w:rPr>
                <w:sz w:val="20"/>
                <w:szCs w:val="20"/>
              </w:rPr>
              <w:br/>
              <w:t xml:space="preserve">    of </w:t>
            </w:r>
            <w:r>
              <w:rPr>
                <w:sz w:val="20"/>
                <w:szCs w:val="20"/>
              </w:rPr>
              <w:t>$</w:t>
            </w:r>
            <w:r>
              <w:rPr>
                <w:sz w:val="20"/>
                <w:szCs w:val="20"/>
              </w:rPr>
              <w:t>2,43</w:t>
            </w:r>
            <w:r>
              <w:rPr>
                <w:sz w:val="20"/>
                <w:szCs w:val="20"/>
              </w:rPr>
              <w:t>5</w:t>
            </w:r>
            <w:r>
              <w:rPr>
                <w:sz w:val="20"/>
                <w:szCs w:val="20"/>
              </w:rPr>
              <w:t xml:space="preserve"> and </w:t>
            </w:r>
            <w:r>
              <w:rPr>
                <w:sz w:val="20"/>
                <w:szCs w:val="20"/>
              </w:rPr>
              <w:t>$</w:t>
            </w:r>
            <w:r>
              <w:rPr>
                <w:sz w:val="20"/>
                <w:szCs w:val="20"/>
              </w:rPr>
              <w:t>12,23</w:t>
            </w:r>
            <w:r>
              <w:rPr>
                <w:sz w:val="20"/>
                <w:szCs w:val="20"/>
              </w:rPr>
              <w:t>6</w:t>
            </w:r>
            <w:r>
              <w:rPr>
                <w:sz w:val="20"/>
                <w:szCs w:val="20"/>
              </w:rPr>
              <w:t>, respectivel</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7,72</w:t>
            </w:r>
            <w:r>
              <w:rPr>
                <w:b/>
                <w:bCs/>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8,99</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437367675"/>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Financing receivable - Kansas leas</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142,21</w:t>
            </w:r>
            <w:r>
              <w:rPr>
                <w:b/>
                <w:bCs/>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145,03</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437367675"/>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ROU lease asset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145,53</w:t>
            </w:r>
            <w:r>
              <w:rPr>
                <w:b/>
                <w:bCs/>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169,96</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437367675"/>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Lease incentive asset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3,52</w:t>
            </w:r>
            <w:r>
              <w:rPr>
                <w:b/>
                <w:bCs/>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4,17</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437367675"/>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 xml:space="preserve">Debt issuance costs for revolving credit facility, </w:t>
            </w:r>
            <w:r>
              <w:rPr>
                <w:sz w:val="20"/>
                <w:szCs w:val="20"/>
              </w:rPr>
              <w:br/>
              <w:t xml:space="preserve">    less accumulated amortization of </w:t>
            </w:r>
            <w:r>
              <w:rPr>
                <w:sz w:val="20"/>
                <w:szCs w:val="20"/>
              </w:rPr>
              <w:t>$</w:t>
            </w:r>
            <w:r>
              <w:rPr>
                <w:sz w:val="20"/>
                <w:szCs w:val="20"/>
              </w:rPr>
              <w:t>76</w:t>
            </w:r>
            <w:r>
              <w:rPr>
                <w:sz w:val="20"/>
                <w:szCs w:val="20"/>
              </w:rPr>
              <w:t>5</w:t>
            </w:r>
            <w:r>
              <w:rPr>
                <w:sz w:val="20"/>
                <w:szCs w:val="20"/>
              </w:rPr>
              <w:t xml:space="preserve"> and </w:t>
            </w:r>
            <w:r>
              <w:rPr>
                <w:sz w:val="20"/>
                <w:szCs w:val="20"/>
              </w:rPr>
              <w:br/>
              <w:t>    </w:t>
            </w:r>
            <w:r>
              <w:rPr>
                <w:sz w:val="20"/>
                <w:szCs w:val="20"/>
              </w:rPr>
              <w:t>$</w:t>
            </w:r>
            <w:r>
              <w:rPr>
                <w:sz w:val="20"/>
                <w:szCs w:val="20"/>
              </w:rPr>
              <w:t>3,17</w:t>
            </w:r>
            <w:r>
              <w:rPr>
                <w:sz w:val="20"/>
                <w:szCs w:val="20"/>
              </w:rPr>
              <w:t>3</w:t>
            </w:r>
            <w:r>
              <w:rPr>
                <w:sz w:val="20"/>
                <w:szCs w:val="20"/>
              </w:rPr>
              <w:t>, respectivel</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3,34</w:t>
            </w:r>
            <w:r>
              <w:rPr>
                <w:b/>
                <w:bCs/>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1,02</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437367675"/>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Cash equivalents and cash surrender value of life</w:t>
            </w:r>
            <w:r>
              <w:rPr>
                <w:sz w:val="20"/>
                <w:szCs w:val="20"/>
              </w:rPr>
              <w:br/>
              <w:t>    insurance held in rabbi trus</w:t>
            </w:r>
            <w:r>
              <w:rPr>
                <w:sz w:val="20"/>
                <w:szCs w:val="20"/>
              </w:rPr>
              <w:t>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15,98</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15,45</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437367675"/>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Straight-line rent receivabl</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2,37</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64</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437367675"/>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Insurance receivabl</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14,14</w:t>
            </w:r>
            <w:r>
              <w:rPr>
                <w:b/>
                <w:bCs/>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13,52</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437367675"/>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Note receivable from AP</w:t>
            </w:r>
            <w:r>
              <w:rPr>
                <w:sz w:val="20"/>
                <w:szCs w:val="20"/>
              </w:rPr>
              <w:t>M</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2,74</w:t>
            </w:r>
            <w:r>
              <w:rPr>
                <w:b/>
                <w:bCs/>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3,06</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437367675"/>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Othe</w:t>
            </w:r>
            <w:r>
              <w:rPr>
                <w:sz w:val="20"/>
                <w:szCs w:val="20"/>
              </w:rPr>
              <w:t>r</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4,37</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2,66</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437367675"/>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341,97</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364,53</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bl>
    <w:p w:rsidR="00000000" w:rsidRDefault="006D723D">
      <w:pPr>
        <w:pStyle w:val="a3"/>
        <w:spacing w:before="40" w:beforeAutospacing="0" w:after="0" w:afterAutospacing="0"/>
        <w:ind w:left="476"/>
        <w:jc w:val="both"/>
        <w:divId w:val="538396831"/>
        <w:rPr>
          <w:sz w:val="20"/>
          <w:szCs w:val="20"/>
        </w:rPr>
      </w:pPr>
      <w:r>
        <w:t> </w:t>
      </w:r>
    </w:p>
    <w:p w:rsidR="00000000" w:rsidRDefault="006D723D">
      <w:pPr>
        <w:pStyle w:val="a3"/>
        <w:spacing w:before="40" w:beforeAutospacing="0" w:after="0" w:afterAutospacing="0"/>
        <w:ind w:left="476"/>
        <w:jc w:val="both"/>
        <w:divId w:val="538396831"/>
        <w:rPr>
          <w:sz w:val="20"/>
          <w:szCs w:val="20"/>
        </w:rPr>
      </w:pPr>
      <w:r>
        <w:rPr>
          <w:sz w:val="20"/>
          <w:szCs w:val="20"/>
        </w:rPr>
        <w:t xml:space="preserve">The gross carrying amount of intangible assets amounted to </w:t>
      </w:r>
      <w:r>
        <w:rPr>
          <w:sz w:val="20"/>
          <w:szCs w:val="20"/>
        </w:rPr>
        <w:t>$</w:t>
      </w:r>
      <w:r>
        <w:rPr>
          <w:sz w:val="20"/>
          <w:szCs w:val="20"/>
        </w:rPr>
        <w:t>10.</w:t>
      </w:r>
      <w:r>
        <w:rPr>
          <w:sz w:val="20"/>
          <w:szCs w:val="20"/>
        </w:rPr>
        <w:t>1</w:t>
      </w:r>
      <w:r>
        <w:rPr>
          <w:sz w:val="20"/>
          <w:szCs w:val="20"/>
        </w:rPr>
        <w:t xml:space="preserve"> million and </w:t>
      </w:r>
      <w:r>
        <w:rPr>
          <w:sz w:val="20"/>
          <w:szCs w:val="20"/>
        </w:rPr>
        <w:t>$</w:t>
      </w:r>
      <w:r>
        <w:rPr>
          <w:sz w:val="20"/>
          <w:szCs w:val="20"/>
        </w:rPr>
        <w:t>21.</w:t>
      </w:r>
      <w:r>
        <w:rPr>
          <w:sz w:val="20"/>
          <w:szCs w:val="20"/>
        </w:rPr>
        <w:t>2</w:t>
      </w:r>
      <w:r>
        <w:rPr>
          <w:sz w:val="20"/>
          <w:szCs w:val="20"/>
        </w:rPr>
        <w:t xml:space="preserve"> </w:t>
      </w:r>
      <w:r>
        <w:rPr>
          <w:sz w:val="20"/>
          <w:szCs w:val="20"/>
        </w:rPr>
        <w:t xml:space="preserve">million at December 31, 2022 and 2021, respectively. Amortization expense related to intangible assets was </w:t>
      </w:r>
      <w:r>
        <w:rPr>
          <w:sz w:val="20"/>
          <w:szCs w:val="20"/>
        </w:rPr>
        <w:t>$</w:t>
      </w:r>
      <w:r>
        <w:rPr>
          <w:sz w:val="20"/>
          <w:szCs w:val="20"/>
        </w:rPr>
        <w:t>1.</w:t>
      </w:r>
      <w:r>
        <w:rPr>
          <w:sz w:val="20"/>
          <w:szCs w:val="20"/>
        </w:rPr>
        <w:t>3</w:t>
      </w:r>
      <w:r>
        <w:rPr>
          <w:sz w:val="20"/>
          <w:szCs w:val="20"/>
        </w:rPr>
        <w:t xml:space="preserve"> million, </w:t>
      </w:r>
      <w:r>
        <w:rPr>
          <w:sz w:val="20"/>
          <w:szCs w:val="20"/>
        </w:rPr>
        <w:t>$</w:t>
      </w:r>
      <w:r>
        <w:rPr>
          <w:sz w:val="20"/>
          <w:szCs w:val="20"/>
        </w:rPr>
        <w:t>1.</w:t>
      </w:r>
      <w:r>
        <w:rPr>
          <w:sz w:val="20"/>
          <w:szCs w:val="20"/>
        </w:rPr>
        <w:t>9</w:t>
      </w:r>
      <w:r>
        <w:rPr>
          <w:sz w:val="20"/>
          <w:szCs w:val="20"/>
        </w:rPr>
        <w:t xml:space="preserve"> million, and </w:t>
      </w:r>
      <w:r>
        <w:rPr>
          <w:sz w:val="20"/>
          <w:szCs w:val="20"/>
        </w:rPr>
        <w:t>$</w:t>
      </w:r>
      <w:r>
        <w:rPr>
          <w:sz w:val="20"/>
          <w:szCs w:val="20"/>
        </w:rPr>
        <w:t>9.</w:t>
      </w:r>
      <w:r>
        <w:rPr>
          <w:sz w:val="20"/>
          <w:szCs w:val="20"/>
        </w:rPr>
        <w:t>1</w:t>
      </w:r>
      <w:r>
        <w:rPr>
          <w:sz w:val="20"/>
          <w:szCs w:val="20"/>
        </w:rPr>
        <w:t xml:space="preserve"> million for 2022, 2021, and 2020, respectively, and depending upon the nature of the asset, was either reported </w:t>
      </w:r>
      <w:r>
        <w:rPr>
          <w:sz w:val="20"/>
          <w:szCs w:val="20"/>
        </w:rPr>
        <w:t>as operating expense or depreciation and amortization in the accompanying statement of operations for the respective periods</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512768465"/>
        <w:rPr>
          <w:sz w:val="20"/>
          <w:szCs w:val="20"/>
        </w:rPr>
      </w:pPr>
      <w:r>
        <w:rPr>
          <w:sz w:val="20"/>
          <w:szCs w:val="20"/>
        </w:rPr>
        <w:t>As of</w:t>
      </w:r>
      <w:r>
        <w:rPr>
          <w:sz w:val="20"/>
          <w:szCs w:val="20"/>
        </w:rPr>
        <w:t xml:space="preserve"> </w:t>
      </w:r>
      <w:r>
        <w:rPr>
          <w:sz w:val="20"/>
          <w:szCs w:val="20"/>
        </w:rPr>
        <w:t>December 31, 2022, the estimated amortization expense related to intangible assets for each of the next five years is as follows (in thousands)</w:t>
      </w:r>
      <w:r>
        <w:rPr>
          <w:sz w:val="20"/>
          <w:szCs w:val="20"/>
        </w:rPr>
        <w:t>:</w:t>
      </w:r>
    </w:p>
    <w:p w:rsidR="00000000" w:rsidRDefault="006D723D">
      <w:pPr>
        <w:pStyle w:val="a3"/>
        <w:spacing w:before="0" w:beforeAutospacing="0" w:after="0" w:afterAutospacing="0"/>
        <w:jc w:val="both"/>
        <w:divId w:val="512768465"/>
        <w:rPr>
          <w:sz w:val="20"/>
          <w:szCs w:val="20"/>
        </w:rPr>
      </w:pP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851"/>
        <w:gridCol w:w="110"/>
        <w:gridCol w:w="160"/>
        <w:gridCol w:w="738"/>
        <w:gridCol w:w="125"/>
      </w:tblGrid>
      <w:tr w:rsidR="00000000">
        <w:trPr>
          <w:divId w:val="512768465"/>
          <w:tblCellSpacing w:w="15" w:type="dxa"/>
        </w:trPr>
        <w:tc>
          <w:tcPr>
            <w:tcW w:w="4000" w:type="pct"/>
            <w:vAlign w:val="center"/>
            <w:hideMark/>
          </w:tcPr>
          <w:p w:rsidR="00000000" w:rsidRDefault="006D723D">
            <w:pPr>
              <w:rPr>
                <w:sz w:val="20"/>
                <w:szCs w:val="20"/>
              </w:rPr>
            </w:pPr>
          </w:p>
        </w:tc>
        <w:tc>
          <w:tcPr>
            <w:tcW w:w="10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797"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divId w:val="512768465"/>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202</w:t>
            </w:r>
            <w:r>
              <w:rPr>
                <w:sz w:val="20"/>
                <w:szCs w:val="20"/>
              </w:rPr>
              <w:t>3</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53</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512768465"/>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202</w:t>
            </w:r>
            <w:r>
              <w:rPr>
                <w:sz w:val="20"/>
                <w:szCs w:val="20"/>
              </w:rPr>
              <w:t>4</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46</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512768465"/>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202</w:t>
            </w:r>
            <w:r>
              <w:rPr>
                <w:sz w:val="20"/>
                <w:szCs w:val="20"/>
              </w:rPr>
              <w:t>5</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46</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512768465"/>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202</w:t>
            </w:r>
            <w:r>
              <w:rPr>
                <w:sz w:val="20"/>
                <w:szCs w:val="20"/>
              </w:rPr>
              <w:t>6</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45</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512768465"/>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202</w:t>
            </w:r>
            <w:r>
              <w:rPr>
                <w:sz w:val="20"/>
                <w:szCs w:val="20"/>
              </w:rPr>
              <w:t>7</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45</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bl>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0" w:beforeAutospacing="0" w:after="0" w:afterAutospacing="0"/>
        <w:jc w:val="center"/>
        <w:rPr>
          <w:sz w:val="20"/>
          <w:szCs w:val="20"/>
        </w:rPr>
      </w:pPr>
      <w:r>
        <w:rPr>
          <w:sz w:val="20"/>
          <w:szCs w:val="20"/>
        </w:rPr>
        <w:t>F</w:t>
      </w:r>
      <w:r>
        <w:rPr>
          <w:sz w:val="20"/>
          <w:szCs w:val="20"/>
        </w:rPr>
        <w:t>-</w:t>
      </w:r>
      <w:r>
        <w:rPr>
          <w:sz w:val="20"/>
          <w:szCs w:val="20"/>
        </w:rPr>
        <w:t>2</w:t>
      </w:r>
      <w:r>
        <w:rPr>
          <w:sz w:val="20"/>
          <w:szCs w:val="20"/>
        </w:rPr>
        <w:t>1</w:t>
      </w:r>
    </w:p>
    <w:p w:rsidR="00000000" w:rsidRDefault="006D723D">
      <w:pPr>
        <w:rPr>
          <w:rFonts w:eastAsia="Times New Roman"/>
        </w:rPr>
      </w:pPr>
      <w:r>
        <w:rPr>
          <w:rFonts w:eastAsia="Times New Roman"/>
        </w:rPr>
        <w:pict>
          <v:rect id="_x0000_i1149"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jc w:val="both"/>
        <w:divId w:val="499656429"/>
        <w:rPr>
          <w:rFonts w:eastAsia="Times New Roman"/>
          <w:sz w:val="20"/>
          <w:szCs w:val="20"/>
        </w:rPr>
      </w:pPr>
      <w:r>
        <w:rPr>
          <w:rFonts w:eastAsia="Times New Roman"/>
          <w:b/>
          <w:bCs/>
          <w:sz w:val="20"/>
          <w:szCs w:val="20"/>
        </w:rPr>
        <w:t>9</w:t>
      </w:r>
      <w:r>
        <w:rPr>
          <w:rFonts w:eastAsia="Times New Roman"/>
          <w:b/>
          <w:bCs/>
          <w:sz w:val="20"/>
          <w:szCs w:val="20"/>
        </w:rPr>
        <w:t>.</w:t>
      </w:r>
    </w:p>
    <w:p w:rsidR="00000000" w:rsidRDefault="006D723D">
      <w:pPr>
        <w:jc w:val="both"/>
        <w:divId w:val="169805255"/>
        <w:rPr>
          <w:rFonts w:eastAsia="Times New Roman"/>
          <w:sz w:val="20"/>
          <w:szCs w:val="20"/>
        </w:rPr>
      </w:pPr>
      <w:r>
        <w:rPr>
          <w:rFonts w:eastAsia="Times New Roman"/>
          <w:b/>
          <w:bCs/>
          <w:sz w:val="20"/>
          <w:szCs w:val="20"/>
        </w:rPr>
        <w:t>ACCOUNTS PAYABLE, ACCRUED EXPENSES AND OTHER LONG-TERM LIABILITIES</w:t>
      </w:r>
      <w:r>
        <w:rPr>
          <w:rFonts w:eastAsia="Times New Roman"/>
          <w:b/>
          <w:bCs/>
          <w:sz w:val="20"/>
          <w:szCs w:val="20"/>
        </w:rPr>
        <w:t xml:space="preserve"> </w:t>
      </w:r>
    </w:p>
    <w:p w:rsidR="00000000" w:rsidRDefault="006D723D">
      <w:pPr>
        <w:pStyle w:val="a3"/>
        <w:spacing w:before="120" w:beforeAutospacing="0" w:after="0" w:afterAutospacing="0"/>
        <w:ind w:left="476"/>
        <w:jc w:val="both"/>
        <w:divId w:val="1567182838"/>
        <w:rPr>
          <w:sz w:val="20"/>
          <w:szCs w:val="20"/>
        </w:rPr>
      </w:pPr>
      <w:r>
        <w:rPr>
          <w:sz w:val="20"/>
          <w:szCs w:val="20"/>
        </w:rPr>
        <w:t>Accounts payable and accrued expenses consist of the following (in thousands)</w:t>
      </w:r>
      <w:r>
        <w:rPr>
          <w:sz w:val="20"/>
          <w:szCs w:val="20"/>
        </w:rPr>
        <w:t>:</w:t>
      </w:r>
    </w:p>
    <w:p w:rsidR="00000000" w:rsidRDefault="006D723D">
      <w:pPr>
        <w:pStyle w:val="a3"/>
        <w:spacing w:before="0" w:beforeAutospacing="0" w:after="0" w:afterAutospacing="0"/>
        <w:jc w:val="both"/>
        <w:divId w:val="1567182838"/>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618"/>
        <w:gridCol w:w="110"/>
        <w:gridCol w:w="160"/>
        <w:gridCol w:w="710"/>
        <w:gridCol w:w="110"/>
        <w:gridCol w:w="110"/>
        <w:gridCol w:w="160"/>
        <w:gridCol w:w="711"/>
        <w:gridCol w:w="125"/>
      </w:tblGrid>
      <w:tr w:rsidR="00000000">
        <w:trPr>
          <w:divId w:val="1567182838"/>
          <w:tblCellSpacing w:w="15" w:type="dxa"/>
        </w:trPr>
        <w:tc>
          <w:tcPr>
            <w:tcW w:w="3274" w:type="pct"/>
            <w:vAlign w:val="center"/>
            <w:hideMark/>
          </w:tcPr>
          <w:p w:rsidR="00000000" w:rsidRDefault="006D723D">
            <w:pPr>
              <w:rPr>
                <w:sz w:val="20"/>
                <w:szCs w:val="20"/>
              </w:rPr>
            </w:pPr>
          </w:p>
        </w:tc>
        <w:tc>
          <w:tcPr>
            <w:tcW w:w="8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7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8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7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divId w:val="1567182838"/>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6D723D">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1567182838"/>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1567182838"/>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Trade accounts payabl</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89,68</w:t>
            </w:r>
            <w:r>
              <w:rPr>
                <w:b/>
                <w:bCs/>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90,80</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67182838"/>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Accrued salaries and wage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49,34</w:t>
            </w:r>
            <w:r>
              <w:rPr>
                <w:b/>
                <w:bCs/>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51,89</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67182838"/>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Income taxes payabl</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2,19</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1,99</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67182838"/>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Accrued dividends on RSU</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40</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1,14</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67182838"/>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Accrued workers' compensation and auto liabilit</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9,20</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8,52</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67182838"/>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Accrued litigatio</w:t>
            </w:r>
            <w:r>
              <w:rPr>
                <w:sz w:val="20"/>
                <w:szCs w:val="20"/>
              </w:rPr>
              <w:t>n</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6,90</w:t>
            </w:r>
            <w:r>
              <w:rPr>
                <w:b/>
                <w:bCs/>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6,84</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67182838"/>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Accrued employee medical insuranc</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7,23</w:t>
            </w:r>
            <w:r>
              <w:rPr>
                <w:b/>
                <w:bCs/>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6,44</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67182838"/>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Accrued property taxe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26,46</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27,63</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67182838"/>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Accrued interes</w:t>
            </w:r>
            <w:r>
              <w:rPr>
                <w:sz w:val="20"/>
                <w:szCs w:val="20"/>
              </w:rPr>
              <w:t>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15,73</w:t>
            </w:r>
            <w:r>
              <w:rPr>
                <w:b/>
                <w:bCs/>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16,74</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67182838"/>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Lease liabilitie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32,69</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31,05</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67182838"/>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Deferred revenu</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10,90</w:t>
            </w:r>
            <w:r>
              <w:rPr>
                <w:b/>
                <w:bCs/>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10,89</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67182838"/>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Construction payabl</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3,03</w:t>
            </w:r>
            <w:r>
              <w:rPr>
                <w:b/>
                <w:bCs/>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2,28</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67182838"/>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Deferred employer payroll taxe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14,79</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67182838"/>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Othe</w:t>
            </w:r>
            <w:r>
              <w:rPr>
                <w:sz w:val="20"/>
                <w:szCs w:val="20"/>
              </w:rPr>
              <w:t>r</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31,43</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34,53</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67182838"/>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285,22</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305,59</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bl>
    <w:p w:rsidR="00000000" w:rsidRDefault="006D723D">
      <w:pPr>
        <w:pStyle w:val="a3"/>
        <w:spacing w:before="0" w:beforeAutospacing="0" w:after="0" w:afterAutospacing="0"/>
        <w:jc w:val="both"/>
        <w:divId w:val="217862995"/>
        <w:rPr>
          <w:sz w:val="20"/>
          <w:szCs w:val="20"/>
        </w:rPr>
      </w:pPr>
      <w:r>
        <w:rPr>
          <w:sz w:val="20"/>
          <w:szCs w:val="20"/>
        </w:rPr>
        <w:t> </w:t>
      </w:r>
    </w:p>
    <w:p w:rsidR="00000000" w:rsidRDefault="006D723D">
      <w:pPr>
        <w:pStyle w:val="a3"/>
        <w:spacing w:before="240" w:beforeAutospacing="0" w:after="0" w:afterAutospacing="0"/>
        <w:ind w:left="476"/>
        <w:jc w:val="both"/>
        <w:divId w:val="175506546"/>
        <w:rPr>
          <w:sz w:val="20"/>
          <w:szCs w:val="20"/>
        </w:rPr>
      </w:pPr>
      <w:r>
        <w:rPr>
          <w:sz w:val="20"/>
          <w:szCs w:val="20"/>
        </w:rPr>
        <w:t>Other long-term liabilities consist of the following (in thousands)</w:t>
      </w:r>
      <w:r>
        <w:rPr>
          <w:sz w:val="20"/>
          <w:szCs w:val="20"/>
        </w:rPr>
        <w:t>:</w:t>
      </w:r>
    </w:p>
    <w:p w:rsidR="00000000" w:rsidRDefault="006D723D">
      <w:pPr>
        <w:pStyle w:val="a3"/>
        <w:spacing w:before="0" w:beforeAutospacing="0" w:after="0" w:afterAutospacing="0"/>
        <w:jc w:val="both"/>
        <w:divId w:val="175506546"/>
        <w:rPr>
          <w:sz w:val="20"/>
          <w:szCs w:val="20"/>
        </w:rPr>
      </w:pP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2789"/>
        <w:gridCol w:w="110"/>
        <w:gridCol w:w="160"/>
        <w:gridCol w:w="710"/>
        <w:gridCol w:w="110"/>
        <w:gridCol w:w="110"/>
        <w:gridCol w:w="160"/>
        <w:gridCol w:w="710"/>
        <w:gridCol w:w="125"/>
      </w:tblGrid>
      <w:tr w:rsidR="00000000">
        <w:trPr>
          <w:divId w:val="175506546"/>
          <w:tblCellSpacing w:w="15" w:type="dxa"/>
        </w:trPr>
        <w:tc>
          <w:tcPr>
            <w:tcW w:w="3244" w:type="pct"/>
            <w:vAlign w:val="center"/>
            <w:hideMark/>
          </w:tcPr>
          <w:p w:rsidR="00000000" w:rsidRDefault="006D723D">
            <w:pPr>
              <w:rPr>
                <w:sz w:val="20"/>
                <w:szCs w:val="20"/>
              </w:rPr>
            </w:pPr>
          </w:p>
        </w:tc>
        <w:tc>
          <w:tcPr>
            <w:tcW w:w="8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95"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8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95"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divId w:val="175506546"/>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6D723D">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175506546"/>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175506546"/>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Intangible contract liabilit</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4,25</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4,64</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75506546"/>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Accrued workers' compensatio</w:t>
            </w:r>
            <w:r>
              <w:rPr>
                <w:sz w:val="20"/>
                <w:szCs w:val="20"/>
              </w:rPr>
              <w:t>n</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33,30</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32,31</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75506546"/>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Accrued deferred compensatio</w:t>
            </w:r>
            <w:r>
              <w:rPr>
                <w:sz w:val="20"/>
                <w:szCs w:val="20"/>
              </w:rPr>
              <w:t>n</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12,99</w:t>
            </w:r>
            <w:r>
              <w:rPr>
                <w:b/>
                <w:bCs/>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11,90</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75506546"/>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Lease financing obligatio</w:t>
            </w:r>
            <w:r>
              <w:rPr>
                <w:sz w:val="20"/>
                <w:szCs w:val="20"/>
              </w:rPr>
              <w:t>n</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7,03</w:t>
            </w:r>
            <w:r>
              <w:rPr>
                <w:b/>
                <w:bCs/>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7,35</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75506546"/>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Lease liabilitie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96,91</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121,34</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75506546"/>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Othe</w:t>
            </w:r>
            <w:r>
              <w:rPr>
                <w:sz w:val="20"/>
                <w:szCs w:val="20"/>
              </w:rPr>
              <w:t>r</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3</w:t>
            </w:r>
            <w:r>
              <w:rPr>
                <w:b/>
                <w:bCs/>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18</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75506546"/>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154,54</w:t>
            </w:r>
            <w:r>
              <w:rPr>
                <w:b/>
                <w:bCs/>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177,74</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bl>
    <w:p w:rsidR="00000000" w:rsidRDefault="006D723D">
      <w:pPr>
        <w:pStyle w:val="a3"/>
        <w:spacing w:before="0" w:beforeAutospacing="0" w:after="0" w:afterAutospacing="0"/>
        <w:jc w:val="both"/>
        <w:rPr>
          <w:sz w:val="20"/>
          <w:szCs w:val="20"/>
        </w:rPr>
      </w:pPr>
      <w:r>
        <w:rPr>
          <w:sz w:val="20"/>
          <w:szCs w:val="20"/>
        </w:rPr>
        <w:t> </w:t>
      </w:r>
    </w:p>
    <w:p w:rsidR="00000000" w:rsidRDefault="006D723D">
      <w:pPr>
        <w:pStyle w:val="a3"/>
        <w:spacing w:before="0" w:beforeAutospacing="0" w:after="0" w:afterAutospacing="0"/>
        <w:jc w:val="center"/>
        <w:rPr>
          <w:sz w:val="20"/>
          <w:szCs w:val="20"/>
        </w:rPr>
      </w:pPr>
      <w:r>
        <w:rPr>
          <w:sz w:val="20"/>
          <w:szCs w:val="20"/>
        </w:rPr>
        <w:t>F</w:t>
      </w:r>
      <w:r>
        <w:rPr>
          <w:sz w:val="20"/>
          <w:szCs w:val="20"/>
        </w:rPr>
        <w:t>-</w:t>
      </w:r>
      <w:r>
        <w:rPr>
          <w:sz w:val="20"/>
          <w:szCs w:val="20"/>
        </w:rPr>
        <w:t>2</w:t>
      </w:r>
      <w:r>
        <w:rPr>
          <w:sz w:val="20"/>
          <w:szCs w:val="20"/>
        </w:rPr>
        <w:t>2</w:t>
      </w:r>
    </w:p>
    <w:p w:rsidR="00000000" w:rsidRDefault="006D723D">
      <w:pPr>
        <w:rPr>
          <w:rFonts w:eastAsia="Times New Roman"/>
        </w:rPr>
      </w:pPr>
      <w:r>
        <w:rPr>
          <w:rFonts w:eastAsia="Times New Roman"/>
        </w:rPr>
        <w:pict>
          <v:rect id="_x0000_i1150" style="width:0;height:1.5pt" o:hralign="center" o:hrstd="t" o:hr="t" fillcolor="#a0a0a0" stroked="f"/>
        </w:pict>
      </w:r>
    </w:p>
    <w:p w:rsidR="00000000" w:rsidRDefault="006D723D">
      <w:pPr>
        <w:pStyle w:val="a3"/>
        <w:spacing w:before="0" w:beforeAutospacing="0" w:after="0" w:afterAutospacing="0"/>
        <w:rPr>
          <w:sz w:val="20"/>
          <w:szCs w:val="20"/>
        </w:rPr>
      </w:pPr>
      <w:r>
        <w:rPr>
          <w:sz w:val="20"/>
          <w:szCs w:val="20"/>
        </w:rPr>
        <w:t> </w:t>
      </w:r>
    </w:p>
    <w:p w:rsidR="00000000" w:rsidRDefault="006D723D">
      <w:pPr>
        <w:jc w:val="both"/>
        <w:divId w:val="938367625"/>
        <w:rPr>
          <w:rFonts w:eastAsia="Times New Roman"/>
          <w:sz w:val="20"/>
          <w:szCs w:val="20"/>
        </w:rPr>
      </w:pPr>
      <w:r>
        <w:rPr>
          <w:rFonts w:eastAsia="Times New Roman"/>
          <w:b/>
          <w:bCs/>
          <w:sz w:val="20"/>
          <w:szCs w:val="20"/>
        </w:rPr>
        <w:t>10</w:t>
      </w:r>
      <w:r>
        <w:rPr>
          <w:rFonts w:eastAsia="Times New Roman"/>
          <w:b/>
          <w:bCs/>
          <w:sz w:val="20"/>
          <w:szCs w:val="20"/>
        </w:rPr>
        <w:t>.</w:t>
      </w:r>
    </w:p>
    <w:p w:rsidR="00000000" w:rsidRDefault="006D723D">
      <w:pPr>
        <w:jc w:val="both"/>
        <w:divId w:val="1217549873"/>
        <w:rPr>
          <w:rFonts w:eastAsia="Times New Roman"/>
          <w:sz w:val="20"/>
          <w:szCs w:val="20"/>
        </w:rPr>
      </w:pPr>
      <w:r>
        <w:rPr>
          <w:rFonts w:eastAsia="Times New Roman"/>
          <w:b/>
          <w:bCs/>
          <w:sz w:val="20"/>
          <w:szCs w:val="20"/>
        </w:rPr>
        <w:t>DEB</w:t>
      </w:r>
      <w:r>
        <w:rPr>
          <w:rFonts w:eastAsia="Times New Roman"/>
          <w:b/>
          <w:bCs/>
          <w:sz w:val="20"/>
          <w:szCs w:val="20"/>
        </w:rPr>
        <w:t>T</w:t>
      </w:r>
    </w:p>
    <w:p w:rsidR="00000000" w:rsidRDefault="006D723D">
      <w:pPr>
        <w:pStyle w:val="a3"/>
        <w:spacing w:before="120" w:beforeAutospacing="0" w:after="0" w:afterAutospacing="0"/>
        <w:ind w:left="476"/>
        <w:jc w:val="both"/>
        <w:divId w:val="1113213537"/>
        <w:rPr>
          <w:sz w:val="20"/>
          <w:szCs w:val="20"/>
        </w:rPr>
      </w:pPr>
      <w:r>
        <w:rPr>
          <w:sz w:val="20"/>
          <w:szCs w:val="20"/>
        </w:rPr>
        <w:t>Debt outstanding consists of the following (in thousands)</w:t>
      </w:r>
      <w:r>
        <w:rPr>
          <w:sz w:val="20"/>
          <w:szCs w:val="20"/>
        </w:rPr>
        <w:t>:</w:t>
      </w:r>
    </w:p>
    <w:p w:rsidR="00000000" w:rsidRDefault="006D723D">
      <w:pPr>
        <w:pStyle w:val="a3"/>
        <w:spacing w:before="0" w:beforeAutospacing="0" w:after="0" w:afterAutospacing="0"/>
        <w:jc w:val="both"/>
        <w:divId w:val="1113213537"/>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5046"/>
        <w:gridCol w:w="108"/>
        <w:gridCol w:w="155"/>
        <w:gridCol w:w="820"/>
        <w:gridCol w:w="124"/>
        <w:gridCol w:w="108"/>
        <w:gridCol w:w="155"/>
        <w:gridCol w:w="820"/>
        <w:gridCol w:w="139"/>
      </w:tblGrid>
      <w:tr w:rsidR="00000000">
        <w:trPr>
          <w:divId w:val="1113213537"/>
          <w:tblCellSpacing w:w="15" w:type="dxa"/>
        </w:trPr>
        <w:tc>
          <w:tcPr>
            <w:tcW w:w="3520" w:type="pct"/>
            <w:vAlign w:val="center"/>
            <w:hideMark/>
          </w:tcPr>
          <w:p w:rsidR="00000000" w:rsidRDefault="006D723D">
            <w:pPr>
              <w:rPr>
                <w:sz w:val="20"/>
                <w:szCs w:val="20"/>
              </w:rPr>
            </w:pPr>
          </w:p>
        </w:tc>
        <w:tc>
          <w:tcPr>
            <w:tcW w:w="85"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5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85"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55"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divId w:val="1113213537"/>
          <w:trHeight w:val="160"/>
          <w:tblCellSpacing w:w="15" w:type="dxa"/>
        </w:trPr>
        <w:tc>
          <w:tcPr>
            <w:tcW w:w="0" w:type="auto"/>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6D723D">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1113213537"/>
          <w:trHeight w:val="160"/>
          <w:tblCellSpacing w:w="15" w:type="dxa"/>
        </w:trPr>
        <w:tc>
          <w:tcPr>
            <w:tcW w:w="0" w:type="auto"/>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center"/>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center"/>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sz w:val="16"/>
                <w:szCs w:val="16"/>
              </w:rPr>
              <w:t>202</w:t>
            </w:r>
            <w:r>
              <w:rPr>
                <w:sz w:val="16"/>
                <w:szCs w:val="16"/>
              </w:rPr>
              <w:t>1</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1113213537"/>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Revolving Credit Facility maturing</w:t>
            </w:r>
            <w:r>
              <w:rPr>
                <w:sz w:val="20"/>
                <w:szCs w:val="20"/>
              </w:rPr>
              <w:t xml:space="preserve"> </w:t>
            </w:r>
            <w:r>
              <w:rPr>
                <w:sz w:val="20"/>
                <w:szCs w:val="20"/>
              </w:rPr>
              <w:t>May 202</w:t>
            </w:r>
            <w:r>
              <w:rPr>
                <w:sz w:val="20"/>
                <w:szCs w:val="20"/>
              </w:rPr>
              <w:t>6</w:t>
            </w:r>
            <w:r>
              <w:rPr>
                <w:sz w:val="20"/>
                <w:szCs w:val="20"/>
              </w:rPr>
              <w:t>.</w:t>
            </w:r>
            <w:r>
              <w:rPr>
                <w:sz w:val="20"/>
                <w:szCs w:val="20"/>
              </w:rPr>
              <w:br/>
              <w:t>  </w:t>
            </w:r>
            <w:r>
              <w:rPr>
                <w:sz w:val="20"/>
                <w:szCs w:val="20"/>
              </w:rPr>
              <w:t> </w:t>
            </w:r>
            <w:r>
              <w:rPr>
                <w:sz w:val="20"/>
                <w:szCs w:val="20"/>
              </w:rPr>
              <w:t>Interest payable periodically at variable interest rate</w:t>
            </w:r>
            <w:r>
              <w:rPr>
                <w:sz w:val="20"/>
                <w:szCs w:val="20"/>
              </w:rPr>
              <w:t>s</w:t>
            </w:r>
            <w:r>
              <w:rPr>
                <w:sz w:val="20"/>
                <w:szCs w:val="20"/>
              </w:rPr>
              <w:t>.</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6D723D">
            <w:pPr>
              <w:pStyle w:val="a3"/>
              <w:spacing w:before="0" w:beforeAutospacing="0" w:after="0" w:afterAutospacing="0"/>
              <w:rPr>
                <w:sz w:val="19"/>
                <w:szCs w:val="19"/>
              </w:rPr>
            </w:pPr>
            <w:r>
              <w:rPr>
                <w:b/>
                <w:bCs/>
                <w:sz w:val="19"/>
                <w:szCs w:val="19"/>
              </w:rPr>
              <w:t>$</w:t>
            </w:r>
          </w:p>
        </w:tc>
        <w:tc>
          <w:tcPr>
            <w:tcW w:w="0" w:type="auto"/>
            <w:vAlign w:val="bottom"/>
            <w:hideMark/>
          </w:tcPr>
          <w:p w:rsidR="00000000" w:rsidRDefault="006D723D">
            <w:pPr>
              <w:pStyle w:val="a3"/>
              <w:spacing w:before="0" w:beforeAutospacing="0" w:after="0" w:afterAutospacing="0"/>
              <w:jc w:val="right"/>
              <w:rPr>
                <w:sz w:val="19"/>
                <w:szCs w:val="19"/>
              </w:rPr>
            </w:pPr>
            <w:r>
              <w:rPr>
                <w:b/>
                <w:bCs/>
                <w:sz w:val="19"/>
                <w:szCs w:val="19"/>
              </w:rPr>
              <w:t>—</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w:t>
            </w:r>
          </w:p>
        </w:tc>
        <w:tc>
          <w:tcPr>
            <w:tcW w:w="0" w:type="auto"/>
            <w:vAlign w:val="bottom"/>
            <w:hideMark/>
          </w:tcPr>
          <w:p w:rsidR="00000000" w:rsidRDefault="006D723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r>
      <w:tr w:rsidR="00000000">
        <w:trPr>
          <w:divId w:val="1113213537"/>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Term Loan A maturing</w:t>
            </w:r>
            <w:r>
              <w:rPr>
                <w:sz w:val="20"/>
                <w:szCs w:val="20"/>
              </w:rPr>
              <w:t xml:space="preserve"> </w:t>
            </w:r>
            <w:r>
              <w:rPr>
                <w:sz w:val="20"/>
                <w:szCs w:val="20"/>
              </w:rPr>
              <w:t>May 202</w:t>
            </w:r>
            <w:r>
              <w:rPr>
                <w:sz w:val="20"/>
                <w:szCs w:val="20"/>
              </w:rPr>
              <w:t>6</w:t>
            </w:r>
            <w:r>
              <w:rPr>
                <w:sz w:val="20"/>
                <w:szCs w:val="20"/>
              </w:rPr>
              <w:t>.</w:t>
            </w:r>
            <w:r>
              <w:rPr>
                <w:sz w:val="20"/>
                <w:szCs w:val="20"/>
              </w:rPr>
              <w:br/>
              <w:t>  </w:t>
            </w:r>
            <w:r>
              <w:rPr>
                <w:sz w:val="20"/>
                <w:szCs w:val="20"/>
              </w:rPr>
              <w:t> </w:t>
            </w:r>
            <w:r>
              <w:rPr>
                <w:sz w:val="20"/>
                <w:szCs w:val="20"/>
              </w:rPr>
              <w:t>Interest payable periodically at variable interest rate</w:t>
            </w:r>
            <w:r>
              <w:rPr>
                <w:sz w:val="20"/>
                <w:szCs w:val="20"/>
              </w:rPr>
              <w:t>s</w:t>
            </w:r>
            <w:r>
              <w:rPr>
                <w:sz w:val="20"/>
                <w:szCs w:val="20"/>
              </w:rPr>
              <w:t>.</w:t>
            </w:r>
            <w:r>
              <w:rPr>
                <w:sz w:val="20"/>
                <w:szCs w:val="20"/>
              </w:rPr>
              <w:br/>
              <w:t>   The rate at December 31, 2022 and 2021 was</w:t>
            </w:r>
            <w:r>
              <w:rPr>
                <w:sz w:val="20"/>
                <w:szCs w:val="20"/>
              </w:rPr>
              <w:t xml:space="preserve"> </w:t>
            </w:r>
            <w:r>
              <w:rPr>
                <w:sz w:val="20"/>
                <w:szCs w:val="20"/>
              </w:rPr>
              <w:t>7.</w:t>
            </w:r>
            <w:r>
              <w:rPr>
                <w:sz w:val="20"/>
                <w:szCs w:val="20"/>
              </w:rPr>
              <w:t>5</w:t>
            </w:r>
            <w:r>
              <w:rPr>
                <w:sz w:val="20"/>
                <w:szCs w:val="20"/>
              </w:rPr>
              <w:t>% and</w:t>
            </w:r>
            <w:r>
              <w:rPr>
                <w:sz w:val="20"/>
                <w:szCs w:val="20"/>
              </w:rPr>
              <w:t xml:space="preserve"> </w:t>
            </w:r>
            <w:r>
              <w:rPr>
                <w:sz w:val="20"/>
                <w:szCs w:val="20"/>
              </w:rPr>
              <w:t>1.</w:t>
            </w:r>
            <w:r>
              <w:rPr>
                <w:sz w:val="20"/>
                <w:szCs w:val="20"/>
              </w:rPr>
              <w:t>4</w:t>
            </w:r>
            <w:r>
              <w:rPr>
                <w:sz w:val="20"/>
                <w:szCs w:val="20"/>
              </w:rPr>
              <w:t>%,</w:t>
            </w:r>
            <w:r>
              <w:rPr>
                <w:sz w:val="20"/>
                <w:szCs w:val="20"/>
              </w:rPr>
              <w:br/>
              <w:t>   respectively. Unamortized</w:t>
            </w:r>
            <w:r>
              <w:rPr>
                <w:sz w:val="20"/>
                <w:szCs w:val="20"/>
              </w:rPr>
              <w:t xml:space="preserve"> debt issuance costs amounted to</w:t>
            </w:r>
            <w:r>
              <w:rPr>
                <w:sz w:val="20"/>
                <w:szCs w:val="20"/>
              </w:rPr>
              <w:br/>
              <w:t>   </w:t>
            </w:r>
            <w:r>
              <w:rPr>
                <w:sz w:val="20"/>
                <w:szCs w:val="20"/>
              </w:rPr>
              <w:t>$</w:t>
            </w:r>
            <w:r>
              <w:rPr>
                <w:sz w:val="20"/>
                <w:szCs w:val="20"/>
              </w:rPr>
              <w:t>1.</w:t>
            </w:r>
            <w:r>
              <w:rPr>
                <w:sz w:val="20"/>
                <w:szCs w:val="20"/>
              </w:rPr>
              <w:t>4</w:t>
            </w:r>
            <w:r>
              <w:rPr>
                <w:sz w:val="20"/>
                <w:szCs w:val="20"/>
              </w:rPr>
              <w:t> million at December 31, 2022. The Term Loan A was</w:t>
            </w:r>
            <w:r>
              <w:rPr>
                <w:sz w:val="20"/>
                <w:szCs w:val="20"/>
              </w:rPr>
              <w:br/>
              <w:t>   paid-down and the maturity was extended in the second</w:t>
            </w:r>
            <w:r>
              <w:rPr>
                <w:sz w:val="20"/>
                <w:szCs w:val="20"/>
              </w:rPr>
              <w:br/>
              <w:t>   quarter of 2022 in connection with an amendment and</w:t>
            </w:r>
            <w:r>
              <w:rPr>
                <w:sz w:val="20"/>
                <w:szCs w:val="20"/>
              </w:rPr>
              <w:br/>
              <w:t>   restatement of the Bank Credit Facility, as furthe</w:t>
            </w:r>
            <w:r>
              <w:rPr>
                <w:sz w:val="20"/>
                <w:szCs w:val="20"/>
              </w:rPr>
              <w:t>r described</w:t>
            </w:r>
            <w:r>
              <w:rPr>
                <w:sz w:val="20"/>
                <w:szCs w:val="20"/>
              </w:rPr>
              <w:br/>
              <w:t>   below</w:t>
            </w:r>
            <w:r>
              <w:rPr>
                <w:sz w:val="20"/>
                <w:szCs w:val="20"/>
              </w:rPr>
              <w:t>.</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9"/>
                <w:szCs w:val="19"/>
              </w:rPr>
              <w:t>96,25</w:t>
            </w:r>
            <w:r>
              <w:rPr>
                <w:b/>
                <w:bCs/>
                <w:sz w:val="19"/>
                <w:szCs w:val="19"/>
              </w:rPr>
              <w:t>0</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9"/>
                <w:szCs w:val="19"/>
              </w:rPr>
              <w:t>170,00</w:t>
            </w:r>
            <w:r>
              <w:rPr>
                <w:sz w:val="19"/>
                <w:szCs w:val="19"/>
              </w:rPr>
              <w:t>0</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r>
      <w:tr w:rsidR="00000000">
        <w:trPr>
          <w:divId w:val="1113213537"/>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Term Loan B.</w:t>
            </w:r>
            <w:r>
              <w:rPr>
                <w:sz w:val="20"/>
                <w:szCs w:val="20"/>
              </w:rPr>
              <w:br/>
              <w:t>  </w:t>
            </w:r>
            <w:r>
              <w:rPr>
                <w:sz w:val="20"/>
                <w:szCs w:val="20"/>
              </w:rPr>
              <w:t> </w:t>
            </w:r>
            <w:r>
              <w:rPr>
                <w:sz w:val="20"/>
                <w:szCs w:val="20"/>
              </w:rPr>
              <w:t>Interest was payable periodically at variable interest rate</w:t>
            </w:r>
            <w:r>
              <w:rPr>
                <w:sz w:val="20"/>
                <w:szCs w:val="20"/>
              </w:rPr>
              <w:t>s</w:t>
            </w:r>
            <w:r>
              <w:rPr>
                <w:sz w:val="20"/>
                <w:szCs w:val="20"/>
              </w:rPr>
              <w:t>.</w:t>
            </w:r>
            <w:r>
              <w:rPr>
                <w:sz w:val="20"/>
                <w:szCs w:val="20"/>
              </w:rPr>
              <w:br/>
              <w:t>   The rate at December 31, 2021 was</w:t>
            </w:r>
            <w:r>
              <w:rPr>
                <w:sz w:val="20"/>
                <w:szCs w:val="20"/>
              </w:rPr>
              <w:t xml:space="preserve"> </w:t>
            </w:r>
            <w:r>
              <w:rPr>
                <w:sz w:val="20"/>
                <w:szCs w:val="20"/>
              </w:rPr>
              <w:t>5.</w:t>
            </w:r>
            <w:r>
              <w:rPr>
                <w:sz w:val="20"/>
                <w:szCs w:val="20"/>
              </w:rPr>
              <w:t>5</w:t>
            </w:r>
            <w:r>
              <w:rPr>
                <w:sz w:val="20"/>
                <w:szCs w:val="20"/>
              </w:rPr>
              <w:t>%. Unamortized debt</w:t>
            </w:r>
            <w:r>
              <w:rPr>
                <w:sz w:val="20"/>
                <w:szCs w:val="20"/>
              </w:rPr>
              <w:br/>
              <w:t xml:space="preserve">   issuance costs amounted to </w:t>
            </w:r>
            <w:r>
              <w:rPr>
                <w:sz w:val="20"/>
                <w:szCs w:val="20"/>
              </w:rPr>
              <w:t>$</w:t>
            </w:r>
            <w:r>
              <w:rPr>
                <w:sz w:val="20"/>
                <w:szCs w:val="20"/>
              </w:rPr>
              <w:t>2.</w:t>
            </w:r>
            <w:r>
              <w:rPr>
                <w:sz w:val="20"/>
                <w:szCs w:val="20"/>
              </w:rPr>
              <w:t>0</w:t>
            </w:r>
            <w:r>
              <w:rPr>
                <w:sz w:val="20"/>
                <w:szCs w:val="20"/>
              </w:rPr>
              <w:t> </w:t>
            </w:r>
            <w:r>
              <w:rPr>
                <w:sz w:val="20"/>
                <w:szCs w:val="20"/>
              </w:rPr>
              <w:t>million at December 31, 2021.</w:t>
            </w:r>
            <w:r>
              <w:rPr>
                <w:sz w:val="20"/>
                <w:szCs w:val="20"/>
              </w:rPr>
              <w:br/>
              <w:t>   The Term Loan B was repaid in the second quarter of 2022, as</w:t>
            </w:r>
            <w:r>
              <w:rPr>
                <w:sz w:val="20"/>
                <w:szCs w:val="20"/>
              </w:rPr>
              <w:br/>
              <w:t>   further described below</w:t>
            </w:r>
            <w:r>
              <w:rPr>
                <w:sz w:val="20"/>
                <w:szCs w:val="20"/>
              </w:rPr>
              <w:t>.</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jc w:val="right"/>
              <w:rPr>
                <w:sz w:val="19"/>
                <w:szCs w:val="19"/>
              </w:rPr>
            </w:pPr>
            <w:r>
              <w:rPr>
                <w:b/>
                <w:bCs/>
                <w:sz w:val="19"/>
                <w:szCs w:val="19"/>
              </w:rPr>
              <w:t>—</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9"/>
                <w:szCs w:val="19"/>
              </w:rPr>
              <w:t>128,75</w:t>
            </w:r>
            <w:r>
              <w:rPr>
                <w:sz w:val="19"/>
                <w:szCs w:val="19"/>
              </w:rPr>
              <w:t>0</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r>
      <w:tr w:rsidR="00000000">
        <w:trPr>
          <w:divId w:val="1113213537"/>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4.62</w:t>
            </w:r>
            <w:r>
              <w:rPr>
                <w:sz w:val="20"/>
                <w:szCs w:val="20"/>
              </w:rPr>
              <w:t>5</w:t>
            </w:r>
            <w:r>
              <w:rPr>
                <w:sz w:val="20"/>
                <w:szCs w:val="20"/>
              </w:rPr>
              <w:t>% Senior Notes maturing</w:t>
            </w:r>
            <w:r>
              <w:rPr>
                <w:sz w:val="20"/>
                <w:szCs w:val="20"/>
              </w:rPr>
              <w:t xml:space="preserve"> </w:t>
            </w:r>
            <w:r>
              <w:rPr>
                <w:sz w:val="20"/>
                <w:szCs w:val="20"/>
              </w:rPr>
              <w:t>May 202</w:t>
            </w:r>
            <w:r>
              <w:rPr>
                <w:sz w:val="20"/>
                <w:szCs w:val="20"/>
              </w:rPr>
              <w:t>3</w:t>
            </w:r>
            <w:r>
              <w:rPr>
                <w:sz w:val="20"/>
                <w:szCs w:val="20"/>
              </w:rPr>
              <w:t>. Unamortized debt</w:t>
            </w:r>
            <w:r>
              <w:rPr>
                <w:sz w:val="20"/>
                <w:szCs w:val="20"/>
              </w:rPr>
              <w:br/>
              <w:t xml:space="preserve">    issuance costs amounted to </w:t>
            </w:r>
            <w:r>
              <w:rPr>
                <w:sz w:val="20"/>
                <w:szCs w:val="20"/>
              </w:rPr>
              <w:t>$</w:t>
            </w:r>
            <w:r>
              <w:rPr>
                <w:sz w:val="20"/>
                <w:szCs w:val="20"/>
              </w:rPr>
              <w:t>0.</w:t>
            </w:r>
            <w:r>
              <w:rPr>
                <w:sz w:val="20"/>
                <w:szCs w:val="20"/>
              </w:rPr>
              <w:t>0</w:t>
            </w:r>
            <w:r>
              <w:rPr>
                <w:sz w:val="20"/>
                <w:szCs w:val="20"/>
              </w:rPr>
              <w:t xml:space="preserve"> million and </w:t>
            </w:r>
            <w:r>
              <w:rPr>
                <w:sz w:val="20"/>
                <w:szCs w:val="20"/>
              </w:rPr>
              <w:t>$</w:t>
            </w:r>
            <w:r>
              <w:rPr>
                <w:sz w:val="20"/>
                <w:szCs w:val="20"/>
              </w:rPr>
              <w:t>0.</w:t>
            </w:r>
            <w:r>
              <w:rPr>
                <w:sz w:val="20"/>
                <w:szCs w:val="20"/>
              </w:rPr>
              <w:t>4</w:t>
            </w:r>
            <w:r>
              <w:rPr>
                <w:sz w:val="20"/>
                <w:szCs w:val="20"/>
              </w:rPr>
              <w:t> mi</w:t>
            </w:r>
            <w:r>
              <w:rPr>
                <w:sz w:val="20"/>
                <w:szCs w:val="20"/>
              </w:rPr>
              <w:t>llion</w:t>
            </w:r>
            <w:r>
              <w:rPr>
                <w:sz w:val="20"/>
                <w:szCs w:val="20"/>
              </w:rPr>
              <w:br/>
              <w:t>    at December 31, 2022 and 2021, respectively. The</w:t>
            </w:r>
            <w:r>
              <w:rPr>
                <w:sz w:val="20"/>
                <w:szCs w:val="20"/>
              </w:rPr>
              <w:br/>
              <w:t xml:space="preserve">    4.625% Senior Notes were redeemed on February 1, 2023, </w:t>
            </w:r>
            <w:r>
              <w:rPr>
                <w:sz w:val="20"/>
                <w:szCs w:val="20"/>
              </w:rPr>
              <w:br/>
              <w:t>    as further described below</w:t>
            </w:r>
            <w:r>
              <w:rPr>
                <w:sz w:val="20"/>
                <w:szCs w:val="20"/>
              </w:rPr>
              <w:t>.</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9"/>
                <w:szCs w:val="19"/>
              </w:rPr>
              <w:t>153,75</w:t>
            </w:r>
            <w:r>
              <w:rPr>
                <w:b/>
                <w:bCs/>
                <w:sz w:val="19"/>
                <w:szCs w:val="19"/>
              </w:rPr>
              <w:t>4</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9"/>
                <w:szCs w:val="19"/>
              </w:rPr>
              <w:t>173,65</w:t>
            </w:r>
            <w:r>
              <w:rPr>
                <w:sz w:val="19"/>
                <w:szCs w:val="19"/>
              </w:rPr>
              <w:t>0</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r>
      <w:tr w:rsidR="00000000">
        <w:trPr>
          <w:divId w:val="1113213537"/>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4.7</w:t>
            </w:r>
            <w:r>
              <w:rPr>
                <w:sz w:val="20"/>
                <w:szCs w:val="20"/>
              </w:rPr>
              <w:t>5</w:t>
            </w:r>
            <w:r>
              <w:rPr>
                <w:sz w:val="20"/>
                <w:szCs w:val="20"/>
              </w:rPr>
              <w:t>% Senior Notes maturing</w:t>
            </w:r>
            <w:r>
              <w:rPr>
                <w:sz w:val="20"/>
                <w:szCs w:val="20"/>
              </w:rPr>
              <w:t xml:space="preserve"> </w:t>
            </w:r>
            <w:r>
              <w:rPr>
                <w:sz w:val="20"/>
                <w:szCs w:val="20"/>
              </w:rPr>
              <w:t>October 202</w:t>
            </w:r>
            <w:r>
              <w:rPr>
                <w:sz w:val="20"/>
                <w:szCs w:val="20"/>
              </w:rPr>
              <w:t>7</w:t>
            </w:r>
            <w:r>
              <w:rPr>
                <w:sz w:val="20"/>
                <w:szCs w:val="20"/>
              </w:rPr>
              <w:t xml:space="preserve">. Unamortized debt </w:t>
            </w:r>
            <w:r>
              <w:rPr>
                <w:sz w:val="20"/>
                <w:szCs w:val="20"/>
              </w:rPr>
              <w:br/>
              <w:t>    </w:t>
            </w:r>
            <w:r>
              <w:rPr>
                <w:sz w:val="20"/>
                <w:szCs w:val="20"/>
              </w:rPr>
              <w:t xml:space="preserve">issuance costs amounted to </w:t>
            </w:r>
            <w:r>
              <w:rPr>
                <w:sz w:val="20"/>
                <w:szCs w:val="20"/>
              </w:rPr>
              <w:t>$</w:t>
            </w:r>
            <w:r>
              <w:rPr>
                <w:sz w:val="20"/>
                <w:szCs w:val="20"/>
              </w:rPr>
              <w:t>1.</w:t>
            </w:r>
            <w:r>
              <w:rPr>
                <w:sz w:val="20"/>
                <w:szCs w:val="20"/>
              </w:rPr>
              <w:t>9</w:t>
            </w:r>
            <w:r>
              <w:rPr>
                <w:sz w:val="20"/>
                <w:szCs w:val="20"/>
              </w:rPr>
              <w:t xml:space="preserve"> million and </w:t>
            </w:r>
            <w:r>
              <w:rPr>
                <w:sz w:val="20"/>
                <w:szCs w:val="20"/>
              </w:rPr>
              <w:t>$</w:t>
            </w:r>
            <w:r>
              <w:rPr>
                <w:sz w:val="20"/>
                <w:szCs w:val="20"/>
              </w:rPr>
              <w:t>2.</w:t>
            </w:r>
            <w:r>
              <w:rPr>
                <w:sz w:val="20"/>
                <w:szCs w:val="20"/>
              </w:rPr>
              <w:t>3</w:t>
            </w:r>
            <w:r>
              <w:rPr>
                <w:sz w:val="20"/>
                <w:szCs w:val="20"/>
              </w:rPr>
              <w:t> million at</w:t>
            </w:r>
            <w:r>
              <w:rPr>
                <w:sz w:val="20"/>
                <w:szCs w:val="20"/>
              </w:rPr>
              <w:br/>
              <w:t>    December 31, 2022 and 2021, respectively</w:t>
            </w:r>
            <w:r>
              <w:rPr>
                <w:sz w:val="20"/>
                <w:szCs w:val="20"/>
              </w:rPr>
              <w:t>.</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9"/>
                <w:szCs w:val="19"/>
              </w:rPr>
              <w:t>250,00</w:t>
            </w:r>
            <w:r>
              <w:rPr>
                <w:b/>
                <w:bCs/>
                <w:sz w:val="19"/>
                <w:szCs w:val="19"/>
              </w:rPr>
              <w:t>0</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9"/>
                <w:szCs w:val="19"/>
              </w:rPr>
              <w:t>250,00</w:t>
            </w:r>
            <w:r>
              <w:rPr>
                <w:sz w:val="19"/>
                <w:szCs w:val="19"/>
              </w:rPr>
              <w:t>0</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r>
      <w:tr w:rsidR="00000000">
        <w:trPr>
          <w:divId w:val="1113213537"/>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8.2</w:t>
            </w:r>
            <w:r>
              <w:rPr>
                <w:sz w:val="20"/>
                <w:szCs w:val="20"/>
              </w:rPr>
              <w:t>5</w:t>
            </w:r>
            <w:r>
              <w:rPr>
                <w:sz w:val="20"/>
                <w:szCs w:val="20"/>
              </w:rPr>
              <w:t>% Senior Notes maturing</w:t>
            </w:r>
            <w:r>
              <w:rPr>
                <w:sz w:val="20"/>
                <w:szCs w:val="20"/>
              </w:rPr>
              <w:t xml:space="preserve"> </w:t>
            </w:r>
            <w:r>
              <w:rPr>
                <w:sz w:val="20"/>
                <w:szCs w:val="20"/>
              </w:rPr>
              <w:t>April 202</w:t>
            </w:r>
            <w:r>
              <w:rPr>
                <w:sz w:val="20"/>
                <w:szCs w:val="20"/>
              </w:rPr>
              <w:t>6</w:t>
            </w:r>
            <w:r>
              <w:rPr>
                <w:sz w:val="20"/>
                <w:szCs w:val="20"/>
              </w:rPr>
              <w:t xml:space="preserve">. Unamortized debt </w:t>
            </w:r>
            <w:r>
              <w:rPr>
                <w:sz w:val="20"/>
                <w:szCs w:val="20"/>
              </w:rPr>
              <w:br/>
              <w:t xml:space="preserve">    issuance costs amounted to </w:t>
            </w:r>
            <w:r>
              <w:rPr>
                <w:sz w:val="20"/>
                <w:szCs w:val="20"/>
              </w:rPr>
              <w:t>$</w:t>
            </w:r>
            <w:r>
              <w:rPr>
                <w:sz w:val="20"/>
                <w:szCs w:val="20"/>
              </w:rPr>
              <w:t>8.</w:t>
            </w:r>
            <w:r>
              <w:rPr>
                <w:sz w:val="20"/>
                <w:szCs w:val="20"/>
              </w:rPr>
              <w:t>7</w:t>
            </w:r>
            <w:r>
              <w:rPr>
                <w:sz w:val="20"/>
                <w:szCs w:val="20"/>
              </w:rPr>
              <w:t xml:space="preserve"> million and </w:t>
            </w:r>
            <w:r>
              <w:rPr>
                <w:sz w:val="20"/>
                <w:szCs w:val="20"/>
              </w:rPr>
              <w:t>$</w:t>
            </w:r>
            <w:r>
              <w:rPr>
                <w:sz w:val="20"/>
                <w:szCs w:val="20"/>
              </w:rPr>
              <w:t>12.</w:t>
            </w:r>
            <w:r>
              <w:rPr>
                <w:sz w:val="20"/>
                <w:szCs w:val="20"/>
              </w:rPr>
              <w:t>9</w:t>
            </w:r>
            <w:r>
              <w:rPr>
                <w:sz w:val="20"/>
                <w:szCs w:val="20"/>
              </w:rPr>
              <w:t> million a</w:t>
            </w:r>
            <w:r>
              <w:rPr>
                <w:sz w:val="20"/>
                <w:szCs w:val="20"/>
              </w:rPr>
              <w:t>t</w:t>
            </w:r>
            <w:r>
              <w:rPr>
                <w:sz w:val="20"/>
                <w:szCs w:val="20"/>
              </w:rPr>
              <w:br/>
              <w:t>    December 31, 2022 and 2021, respectively</w:t>
            </w:r>
            <w:r>
              <w:rPr>
                <w:sz w:val="20"/>
                <w:szCs w:val="20"/>
              </w:rPr>
              <w:t>.</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9"/>
                <w:szCs w:val="19"/>
              </w:rPr>
              <w:t>614,11</w:t>
            </w:r>
            <w:r>
              <w:rPr>
                <w:b/>
                <w:bCs/>
                <w:sz w:val="19"/>
                <w:szCs w:val="19"/>
              </w:rPr>
              <w:t>3</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9"/>
                <w:szCs w:val="19"/>
              </w:rPr>
              <w:t>675,00</w:t>
            </w:r>
            <w:r>
              <w:rPr>
                <w:sz w:val="19"/>
                <w:szCs w:val="19"/>
              </w:rPr>
              <w:t>0</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r>
      <w:tr w:rsidR="00000000">
        <w:trPr>
          <w:divId w:val="1113213537"/>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4.4</w:t>
            </w:r>
            <w:r>
              <w:rPr>
                <w:sz w:val="20"/>
                <w:szCs w:val="20"/>
              </w:rPr>
              <w:t>3</w:t>
            </w:r>
            <w:r>
              <w:rPr>
                <w:sz w:val="20"/>
                <w:szCs w:val="20"/>
              </w:rPr>
              <w:t xml:space="preserve">% Lansing Correctional Center Non-Recourse Mortgage Note </w:t>
            </w:r>
            <w:r>
              <w:rPr>
                <w:sz w:val="20"/>
                <w:szCs w:val="20"/>
              </w:rPr>
              <w:br/>
              <w:t>    maturing</w:t>
            </w:r>
            <w:r>
              <w:rPr>
                <w:sz w:val="20"/>
                <w:szCs w:val="20"/>
              </w:rPr>
              <w:t xml:space="preserve"> </w:t>
            </w:r>
            <w:r>
              <w:rPr>
                <w:sz w:val="20"/>
                <w:szCs w:val="20"/>
              </w:rPr>
              <w:t>January 204</w:t>
            </w:r>
            <w:r>
              <w:rPr>
                <w:sz w:val="20"/>
                <w:szCs w:val="20"/>
              </w:rPr>
              <w:t>0</w:t>
            </w:r>
            <w:r>
              <w:rPr>
                <w:sz w:val="20"/>
                <w:szCs w:val="20"/>
              </w:rPr>
              <w:t xml:space="preserve">. Unamortized debt issuance costs amounted </w:t>
            </w:r>
            <w:r>
              <w:rPr>
                <w:sz w:val="20"/>
                <w:szCs w:val="20"/>
              </w:rPr>
              <w:br/>
              <w:t xml:space="preserve">    to </w:t>
            </w:r>
            <w:r>
              <w:rPr>
                <w:sz w:val="20"/>
                <w:szCs w:val="20"/>
              </w:rPr>
              <w:t>$</w:t>
            </w:r>
            <w:r>
              <w:rPr>
                <w:sz w:val="20"/>
                <w:szCs w:val="20"/>
              </w:rPr>
              <w:t>2.</w:t>
            </w:r>
            <w:r>
              <w:rPr>
                <w:sz w:val="20"/>
                <w:szCs w:val="20"/>
              </w:rPr>
              <w:t>8</w:t>
            </w:r>
            <w:r>
              <w:rPr>
                <w:sz w:val="20"/>
                <w:szCs w:val="20"/>
              </w:rPr>
              <w:t xml:space="preserve"> million and </w:t>
            </w:r>
            <w:r>
              <w:rPr>
                <w:sz w:val="20"/>
                <w:szCs w:val="20"/>
              </w:rPr>
              <w:t>$</w:t>
            </w:r>
            <w:r>
              <w:rPr>
                <w:sz w:val="20"/>
                <w:szCs w:val="20"/>
              </w:rPr>
              <w:t>3.</w:t>
            </w:r>
            <w:r>
              <w:rPr>
                <w:sz w:val="20"/>
                <w:szCs w:val="20"/>
              </w:rPr>
              <w:t>0</w:t>
            </w:r>
            <w:r>
              <w:rPr>
                <w:sz w:val="20"/>
                <w:szCs w:val="20"/>
              </w:rPr>
              <w:t> million at December</w:t>
            </w:r>
            <w:r>
              <w:rPr>
                <w:sz w:val="20"/>
                <w:szCs w:val="20"/>
              </w:rPr>
              <w:t xml:space="preserve"> 31, 2022 </w:t>
            </w:r>
            <w:r>
              <w:rPr>
                <w:sz w:val="20"/>
                <w:szCs w:val="20"/>
              </w:rPr>
              <w:br/>
              <w:t>    and 2021, respectively</w:t>
            </w:r>
            <w:r>
              <w:rPr>
                <w:sz w:val="20"/>
                <w:szCs w:val="20"/>
              </w:rPr>
              <w:t>.</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9"/>
                <w:szCs w:val="19"/>
              </w:rPr>
              <w:t>150,40</w:t>
            </w:r>
            <w:r>
              <w:rPr>
                <w:b/>
                <w:bCs/>
                <w:sz w:val="19"/>
                <w:szCs w:val="19"/>
              </w:rPr>
              <w:t>5</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9"/>
                <w:szCs w:val="19"/>
              </w:rPr>
              <w:t>154,53</w:t>
            </w:r>
            <w:r>
              <w:rPr>
                <w:sz w:val="19"/>
                <w:szCs w:val="19"/>
              </w:rPr>
              <w:t>2</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r>
      <w:tr w:rsidR="00000000">
        <w:trPr>
          <w:divId w:val="1113213537"/>
          <w:trHeight w:val="180"/>
          <w:tblCellSpacing w:w="15" w:type="dxa"/>
        </w:trPr>
        <w:tc>
          <w:tcPr>
            <w:tcW w:w="0" w:type="auto"/>
            <w:hideMark/>
          </w:tcPr>
          <w:p w:rsidR="00000000" w:rsidRDefault="006D723D">
            <w:pPr>
              <w:pStyle w:val="a3"/>
              <w:spacing w:before="0" w:beforeAutospacing="0" w:after="0" w:afterAutospacing="0"/>
              <w:rPr>
                <w:sz w:val="19"/>
                <w:szCs w:val="19"/>
              </w:rPr>
            </w:pPr>
            <w:r>
              <w:rPr>
                <w:sz w:val="19"/>
                <w:szCs w:val="19"/>
              </w:rPr>
              <w:t>Total deb</w:t>
            </w:r>
            <w:r>
              <w:rPr>
                <w:sz w:val="19"/>
                <w:szCs w:val="19"/>
              </w:rPr>
              <w:t>t</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9"/>
                <w:szCs w:val="19"/>
              </w:rPr>
              <w:t>1,264,52</w:t>
            </w:r>
            <w:r>
              <w:rPr>
                <w:b/>
                <w:bCs/>
                <w:sz w:val="19"/>
                <w:szCs w:val="19"/>
              </w:rPr>
              <w:t>2</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9"/>
                <w:szCs w:val="19"/>
              </w:rPr>
              <w:t>1,551,93</w:t>
            </w:r>
            <w:r>
              <w:rPr>
                <w:sz w:val="19"/>
                <w:szCs w:val="19"/>
              </w:rPr>
              <w:t>2</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r>
      <w:tr w:rsidR="00000000">
        <w:trPr>
          <w:divId w:val="1113213537"/>
          <w:trHeight w:val="180"/>
          <w:tblCellSpacing w:w="15" w:type="dxa"/>
        </w:trPr>
        <w:tc>
          <w:tcPr>
            <w:tcW w:w="0" w:type="auto"/>
            <w:hideMark/>
          </w:tcPr>
          <w:p w:rsidR="00000000" w:rsidRDefault="006D723D">
            <w:pPr>
              <w:pStyle w:val="a3"/>
              <w:spacing w:before="0" w:beforeAutospacing="0" w:after="0" w:afterAutospacing="0"/>
              <w:rPr>
                <w:sz w:val="19"/>
                <w:szCs w:val="19"/>
              </w:rPr>
            </w:pPr>
            <w:r>
              <w:rPr>
                <w:sz w:val="19"/>
                <w:szCs w:val="19"/>
              </w:rPr>
              <w:t>Unamortized debt issuance cost</w:t>
            </w:r>
            <w:r>
              <w:rPr>
                <w:sz w:val="19"/>
                <w:szCs w:val="19"/>
              </w:rPr>
              <w:t>s</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9"/>
                <w:szCs w:val="19"/>
              </w:rPr>
              <w:t>(</w:t>
            </w:r>
            <w:r>
              <w:rPr>
                <w:b/>
                <w:bCs/>
                <w:sz w:val="19"/>
                <w:szCs w:val="19"/>
              </w:rPr>
              <w:t>14,76</w:t>
            </w:r>
            <w:r>
              <w:rPr>
                <w:b/>
                <w:bCs/>
                <w:sz w:val="19"/>
                <w:szCs w:val="19"/>
              </w:rPr>
              <w:t>3</w:t>
            </w:r>
          </w:p>
        </w:tc>
        <w:tc>
          <w:tcPr>
            <w:tcW w:w="0" w:type="auto"/>
            <w:noWrap/>
            <w:vAlign w:val="bottom"/>
            <w:hideMark/>
          </w:tcPr>
          <w:p w:rsidR="00000000" w:rsidRDefault="006D723D">
            <w:pPr>
              <w:pStyle w:val="a3"/>
              <w:spacing w:before="0" w:beforeAutospacing="0" w:after="0" w:afterAutospacing="0"/>
              <w:rPr>
                <w:sz w:val="19"/>
                <w:szCs w:val="19"/>
              </w:rPr>
            </w:pPr>
            <w:r>
              <w:rPr>
                <w:b/>
                <w:bCs/>
                <w:sz w:val="19"/>
                <w:szCs w:val="19"/>
              </w:rPr>
              <w:t>)</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9"/>
                <w:szCs w:val="19"/>
              </w:rPr>
              <w:t>(</w:t>
            </w:r>
            <w:r>
              <w:rPr>
                <w:sz w:val="19"/>
                <w:szCs w:val="19"/>
              </w:rPr>
              <w:t>20,58</w:t>
            </w:r>
            <w:r>
              <w:rPr>
                <w:sz w:val="19"/>
                <w:szCs w:val="19"/>
              </w:rPr>
              <w:t>8</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w:t>
            </w:r>
          </w:p>
        </w:tc>
      </w:tr>
      <w:tr w:rsidR="00000000">
        <w:trPr>
          <w:divId w:val="1113213537"/>
          <w:trHeight w:val="180"/>
          <w:tblCellSpacing w:w="15" w:type="dxa"/>
        </w:trPr>
        <w:tc>
          <w:tcPr>
            <w:tcW w:w="0" w:type="auto"/>
            <w:hideMark/>
          </w:tcPr>
          <w:p w:rsidR="00000000" w:rsidRDefault="006D723D">
            <w:pPr>
              <w:pStyle w:val="a3"/>
              <w:spacing w:before="0" w:beforeAutospacing="0" w:after="0" w:afterAutospacing="0"/>
              <w:rPr>
                <w:sz w:val="19"/>
                <w:szCs w:val="19"/>
              </w:rPr>
            </w:pPr>
            <w:r>
              <w:rPr>
                <w:sz w:val="19"/>
                <w:szCs w:val="19"/>
              </w:rPr>
              <w:t>Net unamortized original issue premium (discount</w:t>
            </w:r>
            <w:r>
              <w:rPr>
                <w:sz w:val="19"/>
                <w:szCs w:val="19"/>
              </w:rPr>
              <w:t>)</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9"/>
                <w:szCs w:val="19"/>
              </w:rPr>
              <w:t>62</w:t>
            </w:r>
            <w:r>
              <w:rPr>
                <w:b/>
                <w:bCs/>
                <w:sz w:val="19"/>
                <w:szCs w:val="19"/>
              </w:rPr>
              <w:t>4</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9"/>
                <w:szCs w:val="19"/>
              </w:rPr>
              <w:t>(</w:t>
            </w:r>
            <w:r>
              <w:rPr>
                <w:sz w:val="19"/>
                <w:szCs w:val="19"/>
              </w:rPr>
              <w:t>3,92</w:t>
            </w:r>
            <w:r>
              <w:rPr>
                <w:sz w:val="19"/>
                <w:szCs w:val="19"/>
              </w:rPr>
              <w:t>2</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w:t>
            </w:r>
          </w:p>
        </w:tc>
      </w:tr>
      <w:tr w:rsidR="00000000">
        <w:trPr>
          <w:divId w:val="1113213537"/>
          <w:trHeight w:val="180"/>
          <w:tblCellSpacing w:w="15" w:type="dxa"/>
        </w:trPr>
        <w:tc>
          <w:tcPr>
            <w:tcW w:w="0" w:type="auto"/>
            <w:hideMark/>
          </w:tcPr>
          <w:p w:rsidR="00000000" w:rsidRDefault="006D723D">
            <w:pPr>
              <w:pStyle w:val="a3"/>
              <w:spacing w:before="0" w:beforeAutospacing="0" w:after="0" w:afterAutospacing="0"/>
              <w:rPr>
                <w:sz w:val="19"/>
                <w:szCs w:val="19"/>
              </w:rPr>
            </w:pPr>
            <w:r>
              <w:rPr>
                <w:sz w:val="19"/>
                <w:szCs w:val="19"/>
              </w:rPr>
              <w:t>Current portion of long-term deb</w:t>
            </w:r>
            <w:r>
              <w:rPr>
                <w:sz w:val="19"/>
                <w:szCs w:val="19"/>
              </w:rPr>
              <w:t>t</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9"/>
                <w:szCs w:val="19"/>
              </w:rPr>
              <w:t>(</w:t>
            </w:r>
            <w:r>
              <w:rPr>
                <w:b/>
                <w:bCs/>
                <w:sz w:val="19"/>
                <w:szCs w:val="19"/>
              </w:rPr>
              <w:t>165,52</w:t>
            </w:r>
            <w:r>
              <w:rPr>
                <w:b/>
                <w:bCs/>
                <w:sz w:val="19"/>
                <w:szCs w:val="19"/>
              </w:rPr>
              <w:t>5</w:t>
            </w:r>
          </w:p>
        </w:tc>
        <w:tc>
          <w:tcPr>
            <w:tcW w:w="0" w:type="auto"/>
            <w:noWrap/>
            <w:vAlign w:val="bottom"/>
            <w:hideMark/>
          </w:tcPr>
          <w:p w:rsidR="00000000" w:rsidRDefault="006D723D">
            <w:pPr>
              <w:pStyle w:val="a3"/>
              <w:spacing w:before="0" w:beforeAutospacing="0" w:after="0" w:afterAutospacing="0"/>
              <w:rPr>
                <w:sz w:val="19"/>
                <w:szCs w:val="19"/>
              </w:rPr>
            </w:pPr>
            <w:r>
              <w:rPr>
                <w:b/>
                <w:bCs/>
                <w:sz w:val="19"/>
                <w:szCs w:val="19"/>
              </w:rPr>
              <w:t>)</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9"/>
                <w:szCs w:val="19"/>
              </w:rPr>
              <w:t>(</w:t>
            </w:r>
            <w:r>
              <w:rPr>
                <w:sz w:val="19"/>
                <w:szCs w:val="19"/>
              </w:rPr>
              <w:t>35,37</w:t>
            </w:r>
            <w:r>
              <w:rPr>
                <w:sz w:val="19"/>
                <w:szCs w:val="19"/>
              </w:rPr>
              <w:t>6</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w:t>
            </w:r>
          </w:p>
        </w:tc>
      </w:tr>
      <w:tr w:rsidR="00000000">
        <w:trPr>
          <w:divId w:val="1113213537"/>
          <w:trHeight w:val="180"/>
          <w:tblCellSpacing w:w="15" w:type="dxa"/>
        </w:trPr>
        <w:tc>
          <w:tcPr>
            <w:tcW w:w="0" w:type="auto"/>
            <w:hideMark/>
          </w:tcPr>
          <w:p w:rsidR="00000000" w:rsidRDefault="006D723D">
            <w:pPr>
              <w:pStyle w:val="a3"/>
              <w:spacing w:before="0" w:beforeAutospacing="0" w:after="0" w:afterAutospacing="0"/>
              <w:rPr>
                <w:sz w:val="19"/>
                <w:szCs w:val="19"/>
              </w:rPr>
            </w:pPr>
            <w:r>
              <w:rPr>
                <w:sz w:val="19"/>
                <w:szCs w:val="19"/>
              </w:rPr>
              <w:t>Long-term debt, ne</w:t>
            </w:r>
            <w:r>
              <w:rPr>
                <w:sz w:val="19"/>
                <w:szCs w:val="19"/>
              </w:rPr>
              <w:t>t</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6D723D">
            <w:pPr>
              <w:pStyle w:val="a3"/>
              <w:spacing w:before="0" w:beforeAutospacing="0" w:after="0" w:afterAutospacing="0"/>
              <w:rPr>
                <w:sz w:val="19"/>
                <w:szCs w:val="19"/>
              </w:rPr>
            </w:pPr>
            <w:r>
              <w:rPr>
                <w:b/>
                <w:bCs/>
                <w:sz w:val="19"/>
                <w:szCs w:val="19"/>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9"/>
                <w:szCs w:val="19"/>
              </w:rPr>
              <w:t>1,084,85</w:t>
            </w:r>
            <w:r>
              <w:rPr>
                <w:b/>
                <w:bCs/>
                <w:sz w:val="19"/>
                <w:szCs w:val="19"/>
              </w:rPr>
              <w:t>8</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vAlign w:val="bottom"/>
            <w:hideMark/>
          </w:tcPr>
          <w:p w:rsidR="00000000" w:rsidRDefault="006D723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w:t>
            </w:r>
          </w:p>
        </w:tc>
        <w:tc>
          <w:tcPr>
            <w:tcW w:w="0" w:type="auto"/>
            <w:vAlign w:val="bottom"/>
            <w:hideMark/>
          </w:tcPr>
          <w:p w:rsidR="00000000" w:rsidRDefault="006D723D">
            <w:pPr>
              <w:pStyle w:val="a3"/>
              <w:spacing w:before="0" w:beforeAutospacing="0" w:after="0" w:afterAutospacing="0"/>
              <w:jc w:val="right"/>
              <w:rPr>
                <w:sz w:val="20"/>
                <w:szCs w:val="20"/>
              </w:rPr>
            </w:pPr>
            <w:r>
              <w:rPr>
                <w:sz w:val="19"/>
                <w:szCs w:val="19"/>
              </w:rPr>
              <w:t>1,492,04</w:t>
            </w:r>
            <w:r>
              <w:rPr>
                <w:sz w:val="19"/>
                <w:szCs w:val="19"/>
              </w:rPr>
              <w:t>6</w:t>
            </w:r>
          </w:p>
        </w:tc>
        <w:tc>
          <w:tcPr>
            <w:tcW w:w="0" w:type="auto"/>
            <w:noWrap/>
            <w:vAlign w:val="bottom"/>
            <w:hideMark/>
          </w:tcPr>
          <w:p w:rsidR="00000000" w:rsidRDefault="006D723D">
            <w:pPr>
              <w:pStyle w:val="a3"/>
              <w:spacing w:before="0" w:beforeAutospacing="0" w:after="0" w:afterAutospacing="0"/>
              <w:rPr>
                <w:sz w:val="19"/>
                <w:szCs w:val="19"/>
              </w:rPr>
            </w:pPr>
            <w:r>
              <w:rPr>
                <w:sz w:val="19"/>
                <w:szCs w:val="19"/>
              </w:rPr>
              <w:t> </w:t>
            </w:r>
          </w:p>
        </w:tc>
      </w:tr>
    </w:tbl>
    <w:p w:rsidR="00000000" w:rsidRDefault="006D723D">
      <w:pPr>
        <w:pStyle w:val="a3"/>
        <w:spacing w:before="0" w:beforeAutospacing="0" w:after="0" w:afterAutospacing="0"/>
        <w:jc w:val="both"/>
        <w:divId w:val="1113213537"/>
        <w:rPr>
          <w:sz w:val="20"/>
          <w:szCs w:val="20"/>
        </w:rPr>
      </w:pPr>
      <w:r>
        <w:rPr>
          <w:sz w:val="20"/>
          <w:szCs w:val="20"/>
        </w:rPr>
        <w:t> </w:t>
      </w:r>
    </w:p>
    <w:p w:rsidR="00000000" w:rsidRDefault="006D723D">
      <w:pPr>
        <w:pStyle w:val="a3"/>
        <w:spacing w:before="0" w:beforeAutospacing="0" w:after="0" w:afterAutospacing="0"/>
        <w:jc w:val="center"/>
        <w:divId w:val="1464732807"/>
        <w:rPr>
          <w:sz w:val="20"/>
          <w:szCs w:val="20"/>
        </w:rPr>
      </w:pPr>
      <w:r>
        <w:rPr>
          <w:sz w:val="20"/>
          <w:szCs w:val="20"/>
        </w:rPr>
        <w:t>F</w:t>
      </w:r>
      <w:r>
        <w:rPr>
          <w:sz w:val="20"/>
          <w:szCs w:val="20"/>
        </w:rPr>
        <w:t>-</w:t>
      </w:r>
      <w:r>
        <w:rPr>
          <w:sz w:val="20"/>
          <w:szCs w:val="20"/>
        </w:rPr>
        <w:t>2</w:t>
      </w:r>
      <w:r>
        <w:rPr>
          <w:sz w:val="20"/>
          <w:szCs w:val="20"/>
        </w:rPr>
        <w:t>3</w:t>
      </w:r>
    </w:p>
    <w:p w:rsidR="00000000" w:rsidRDefault="006D723D">
      <w:pPr>
        <w:divId w:val="1464732807"/>
        <w:rPr>
          <w:rFonts w:eastAsia="Times New Roman"/>
          <w:sz w:val="20"/>
          <w:szCs w:val="20"/>
        </w:rPr>
      </w:pPr>
      <w:r>
        <w:rPr>
          <w:rFonts w:eastAsia="Times New Roman"/>
          <w:sz w:val="20"/>
          <w:szCs w:val="20"/>
        </w:rPr>
        <w:pict>
          <v:rect id="_x0000_i1151" style="width:0;height:1.5pt" o:hralign="center" o:hrstd="t" o:hr="t" fillcolor="#a0a0a0" stroked="f"/>
        </w:pict>
      </w:r>
    </w:p>
    <w:p w:rsidR="00000000" w:rsidRDefault="006D723D">
      <w:pPr>
        <w:pStyle w:val="a3"/>
        <w:spacing w:before="0" w:beforeAutospacing="0" w:after="0" w:afterAutospacing="0"/>
        <w:divId w:val="1464732807"/>
        <w:rPr>
          <w:sz w:val="20"/>
          <w:szCs w:val="20"/>
        </w:rPr>
      </w:pPr>
      <w:r>
        <w:rPr>
          <w:sz w:val="20"/>
          <w:szCs w:val="20"/>
        </w:rPr>
        <w:t> </w:t>
      </w:r>
    </w:p>
    <w:p w:rsidR="00000000" w:rsidRDefault="006D723D">
      <w:pPr>
        <w:pStyle w:val="a3"/>
        <w:spacing w:before="40" w:beforeAutospacing="0" w:after="0" w:afterAutospacing="0"/>
        <w:ind w:left="476"/>
        <w:jc w:val="both"/>
        <w:divId w:val="1464732807"/>
        <w:rPr>
          <w:sz w:val="20"/>
          <w:szCs w:val="20"/>
        </w:rPr>
      </w:pPr>
      <w:r>
        <w:rPr>
          <w:i/>
          <w:iCs/>
          <w:sz w:val="20"/>
          <w:szCs w:val="20"/>
        </w:rPr>
        <w:t>Revolving Credit Facility</w:t>
      </w:r>
      <w:r>
        <w:rPr>
          <w:i/>
          <w:iCs/>
          <w:sz w:val="20"/>
          <w:szCs w:val="20"/>
        </w:rPr>
        <w:t>.</w:t>
      </w:r>
      <w:r>
        <w:rPr>
          <w:sz w:val="20"/>
          <w:szCs w:val="20"/>
        </w:rPr>
        <w:t xml:space="preserve"> On May 12, 2022, CoreCivic entered into a Third Amended and Restated Credit Agreement (referred to herein as the "New Bank Credit Facility") in an aggregate principal amount of </w:t>
      </w:r>
      <w:r>
        <w:rPr>
          <w:sz w:val="20"/>
          <w:szCs w:val="20"/>
        </w:rPr>
        <w:t>$</w:t>
      </w:r>
      <w:r>
        <w:rPr>
          <w:sz w:val="20"/>
          <w:szCs w:val="20"/>
        </w:rPr>
        <w:t>350.</w:t>
      </w:r>
      <w:r>
        <w:rPr>
          <w:sz w:val="20"/>
          <w:szCs w:val="20"/>
        </w:rPr>
        <w:t>0</w:t>
      </w:r>
      <w:r>
        <w:rPr>
          <w:sz w:val="20"/>
          <w:szCs w:val="20"/>
        </w:rPr>
        <w:t xml:space="preserve"> million</w:t>
      </w:r>
      <w:r>
        <w:rPr>
          <w:sz w:val="20"/>
          <w:szCs w:val="20"/>
        </w:rPr>
        <w:t xml:space="preserve">, consisting of a </w:t>
      </w:r>
      <w:r>
        <w:rPr>
          <w:sz w:val="20"/>
          <w:szCs w:val="20"/>
        </w:rPr>
        <w:t>$</w:t>
      </w:r>
      <w:r>
        <w:rPr>
          <w:sz w:val="20"/>
          <w:szCs w:val="20"/>
        </w:rPr>
        <w:t>100.</w:t>
      </w:r>
      <w:r>
        <w:rPr>
          <w:sz w:val="20"/>
          <w:szCs w:val="20"/>
        </w:rPr>
        <w:t>0</w:t>
      </w:r>
      <w:r>
        <w:rPr>
          <w:sz w:val="20"/>
          <w:szCs w:val="20"/>
        </w:rPr>
        <w:t xml:space="preserve"> million term loan (the "New Term Loan A") and a revolving credit facility with a borrowing capacity of </w:t>
      </w:r>
      <w:r>
        <w:rPr>
          <w:sz w:val="20"/>
          <w:szCs w:val="20"/>
        </w:rPr>
        <w:t>$</w:t>
      </w:r>
      <w:r>
        <w:rPr>
          <w:sz w:val="20"/>
          <w:szCs w:val="20"/>
        </w:rPr>
        <w:t>250.</w:t>
      </w:r>
      <w:r>
        <w:rPr>
          <w:sz w:val="20"/>
          <w:szCs w:val="20"/>
        </w:rPr>
        <w:t>0</w:t>
      </w:r>
      <w:r>
        <w:rPr>
          <w:sz w:val="20"/>
          <w:szCs w:val="20"/>
        </w:rPr>
        <w:t xml:space="preserve"> million (the "New Revolving Credit Facility"). The New Bank Credit Facility replaced the Second Amended and Restated Cred</w:t>
      </w:r>
      <w:r>
        <w:rPr>
          <w:sz w:val="20"/>
          <w:szCs w:val="20"/>
        </w:rPr>
        <w:t xml:space="preserve">it Agreement (the "Previous Bank Credit Facility"), which was in an aggregate principal amount of </w:t>
      </w:r>
      <w:r>
        <w:rPr>
          <w:sz w:val="20"/>
          <w:szCs w:val="20"/>
        </w:rPr>
        <w:t>$</w:t>
      </w:r>
      <w:r>
        <w:rPr>
          <w:sz w:val="20"/>
          <w:szCs w:val="20"/>
        </w:rPr>
        <w:t>1.</w:t>
      </w:r>
      <w:r>
        <w:rPr>
          <w:sz w:val="20"/>
          <w:szCs w:val="20"/>
        </w:rPr>
        <w:t>0</w:t>
      </w:r>
      <w:r>
        <w:rPr>
          <w:sz w:val="20"/>
          <w:szCs w:val="20"/>
        </w:rPr>
        <w:t xml:space="preserve"> billion and consisted of a term loan with an original principal balance of </w:t>
      </w:r>
      <w:r>
        <w:rPr>
          <w:sz w:val="20"/>
          <w:szCs w:val="20"/>
        </w:rPr>
        <w:t>$</w:t>
      </w:r>
      <w:r>
        <w:rPr>
          <w:sz w:val="20"/>
          <w:szCs w:val="20"/>
        </w:rPr>
        <w:t>200.</w:t>
      </w:r>
      <w:r>
        <w:rPr>
          <w:sz w:val="20"/>
          <w:szCs w:val="20"/>
        </w:rPr>
        <w:t>0</w:t>
      </w:r>
      <w:r>
        <w:rPr>
          <w:sz w:val="20"/>
          <w:szCs w:val="20"/>
        </w:rPr>
        <w:t xml:space="preserve"> million and a revolving credit facility with a borrowing capacity of </w:t>
      </w:r>
      <w:r>
        <w:rPr>
          <w:sz w:val="20"/>
          <w:szCs w:val="20"/>
        </w:rPr>
        <w:t>$</w:t>
      </w:r>
      <w:r>
        <w:rPr>
          <w:sz w:val="20"/>
          <w:szCs w:val="20"/>
        </w:rPr>
        <w:t>8</w:t>
      </w:r>
      <w:r>
        <w:rPr>
          <w:sz w:val="20"/>
          <w:szCs w:val="20"/>
        </w:rPr>
        <w:t>00.</w:t>
      </w:r>
      <w:r>
        <w:rPr>
          <w:sz w:val="20"/>
          <w:szCs w:val="20"/>
        </w:rPr>
        <w:t>0</w:t>
      </w:r>
      <w:r>
        <w:rPr>
          <w:sz w:val="20"/>
          <w:szCs w:val="20"/>
        </w:rPr>
        <w:t xml:space="preserve"> million. The New Bank Credit Facility extends the maturity to</w:t>
      </w:r>
      <w:r>
        <w:rPr>
          <w:sz w:val="20"/>
          <w:szCs w:val="20"/>
        </w:rPr>
        <w:t xml:space="preserve"> </w:t>
      </w:r>
      <w:r>
        <w:rPr>
          <w:sz w:val="20"/>
          <w:szCs w:val="20"/>
        </w:rPr>
        <w:t>May 202</w:t>
      </w:r>
      <w:r>
        <w:rPr>
          <w:sz w:val="20"/>
          <w:szCs w:val="20"/>
        </w:rPr>
        <w:t>6</w:t>
      </w:r>
      <w:r>
        <w:rPr>
          <w:sz w:val="20"/>
          <w:szCs w:val="20"/>
        </w:rPr>
        <w:t xml:space="preserve"> from the</w:t>
      </w:r>
      <w:r>
        <w:rPr>
          <w:sz w:val="20"/>
          <w:szCs w:val="20"/>
        </w:rPr>
        <w:t xml:space="preserve"> </w:t>
      </w:r>
      <w:r>
        <w:rPr>
          <w:sz w:val="20"/>
          <w:szCs w:val="20"/>
        </w:rPr>
        <w:t>April 202</w:t>
      </w:r>
      <w:r>
        <w:rPr>
          <w:sz w:val="20"/>
          <w:szCs w:val="20"/>
        </w:rPr>
        <w:t>3</w:t>
      </w:r>
      <w:r>
        <w:rPr>
          <w:sz w:val="20"/>
          <w:szCs w:val="20"/>
        </w:rPr>
        <w:t xml:space="preserve"> maturity under the Previous Bank Credit Facility. The New Bank Credit Facility includes an option to increase the availability under the New Revolving Credit Fa</w:t>
      </w:r>
      <w:r>
        <w:rPr>
          <w:sz w:val="20"/>
          <w:szCs w:val="20"/>
        </w:rPr>
        <w:t xml:space="preserve">cility and to request term loans from the lenders in an aggregate amount not to exceed the greater of (a) </w:t>
      </w:r>
      <w:r>
        <w:rPr>
          <w:sz w:val="20"/>
          <w:szCs w:val="20"/>
        </w:rPr>
        <w:t>$</w:t>
      </w:r>
      <w:r>
        <w:rPr>
          <w:sz w:val="20"/>
          <w:szCs w:val="20"/>
        </w:rPr>
        <w:t>200.</w:t>
      </w:r>
      <w:r>
        <w:rPr>
          <w:sz w:val="20"/>
          <w:szCs w:val="20"/>
        </w:rPr>
        <w:t>0</w:t>
      </w:r>
      <w:r>
        <w:rPr>
          <w:sz w:val="20"/>
          <w:szCs w:val="20"/>
        </w:rPr>
        <w:t xml:space="preserve"> million and (b)</w:t>
      </w:r>
      <w:r>
        <w:rPr>
          <w:sz w:val="20"/>
          <w:szCs w:val="20"/>
        </w:rPr>
        <w:t xml:space="preserve"> </w:t>
      </w:r>
      <w:r>
        <w:rPr>
          <w:sz w:val="20"/>
          <w:szCs w:val="20"/>
        </w:rPr>
        <w:t>5</w:t>
      </w:r>
      <w:r>
        <w:rPr>
          <w:sz w:val="20"/>
          <w:szCs w:val="20"/>
        </w:rPr>
        <w:t>0</w:t>
      </w:r>
      <w:r>
        <w:rPr>
          <w:sz w:val="20"/>
          <w:szCs w:val="20"/>
        </w:rPr>
        <w:t>% of consolidated EBITDA for the most recently ended four-quarter period, subject to, among other things, the receipt of comm</w:t>
      </w:r>
      <w:r>
        <w:rPr>
          <w:sz w:val="20"/>
          <w:szCs w:val="20"/>
        </w:rPr>
        <w:t>itments for the increased amount. At CoreCivic's option, interest on outstanding borrowings under the New Bank Credit Facility is based on either a base rate plus a margin ranging from</w:t>
      </w:r>
      <w:r>
        <w:rPr>
          <w:sz w:val="20"/>
          <w:szCs w:val="20"/>
        </w:rPr>
        <w:t xml:space="preserve"> </w:t>
      </w:r>
      <w:r>
        <w:rPr>
          <w:sz w:val="20"/>
          <w:szCs w:val="20"/>
        </w:rPr>
        <w:t>1.7</w:t>
      </w:r>
      <w:r>
        <w:rPr>
          <w:sz w:val="20"/>
          <w:szCs w:val="20"/>
        </w:rPr>
        <w:t>5</w:t>
      </w:r>
      <w:r>
        <w:rPr>
          <w:sz w:val="20"/>
          <w:szCs w:val="20"/>
        </w:rPr>
        <w:t>% to</w:t>
      </w:r>
      <w:r>
        <w:rPr>
          <w:sz w:val="20"/>
          <w:szCs w:val="20"/>
        </w:rPr>
        <w:t xml:space="preserve"> </w:t>
      </w:r>
      <w:r>
        <w:rPr>
          <w:sz w:val="20"/>
          <w:szCs w:val="20"/>
        </w:rPr>
        <w:t>3.</w:t>
      </w:r>
      <w:r>
        <w:rPr>
          <w:sz w:val="20"/>
          <w:szCs w:val="20"/>
        </w:rPr>
        <w:t>5</w:t>
      </w:r>
      <w:r>
        <w:rPr>
          <w:sz w:val="20"/>
          <w:szCs w:val="20"/>
        </w:rPr>
        <w:t>%, or at the Bloomberg Short-Term Bank Yield Index ("BSBY")</w:t>
      </w:r>
      <w:r>
        <w:rPr>
          <w:sz w:val="20"/>
          <w:szCs w:val="20"/>
        </w:rPr>
        <w:t xml:space="preserve"> rate plus a margin ranging from</w:t>
      </w:r>
      <w:r>
        <w:rPr>
          <w:sz w:val="20"/>
          <w:szCs w:val="20"/>
        </w:rPr>
        <w:t xml:space="preserve"> </w:t>
      </w:r>
      <w:r>
        <w:rPr>
          <w:sz w:val="20"/>
          <w:szCs w:val="20"/>
        </w:rPr>
        <w:t>2.7</w:t>
      </w:r>
      <w:r>
        <w:rPr>
          <w:sz w:val="20"/>
          <w:szCs w:val="20"/>
        </w:rPr>
        <w:t>5</w:t>
      </w:r>
      <w:r>
        <w:rPr>
          <w:sz w:val="20"/>
          <w:szCs w:val="20"/>
        </w:rPr>
        <w:t>% to</w:t>
      </w:r>
      <w:r>
        <w:rPr>
          <w:sz w:val="20"/>
          <w:szCs w:val="20"/>
        </w:rPr>
        <w:t xml:space="preserve"> </w:t>
      </w:r>
      <w:r>
        <w:rPr>
          <w:sz w:val="20"/>
          <w:szCs w:val="20"/>
        </w:rPr>
        <w:t>4.</w:t>
      </w:r>
      <w:r>
        <w:rPr>
          <w:sz w:val="20"/>
          <w:szCs w:val="20"/>
        </w:rPr>
        <w:t>5</w:t>
      </w:r>
      <w:r>
        <w:rPr>
          <w:sz w:val="20"/>
          <w:szCs w:val="20"/>
        </w:rPr>
        <w:t xml:space="preserve">% based on the Company’s then-current total leverage ratio. The New Revolving Credit Facility includes a </w:t>
      </w:r>
      <w:r>
        <w:rPr>
          <w:sz w:val="20"/>
          <w:szCs w:val="20"/>
        </w:rPr>
        <w:t>$</w:t>
      </w:r>
      <w:r>
        <w:rPr>
          <w:sz w:val="20"/>
          <w:szCs w:val="20"/>
        </w:rPr>
        <w:t>25.</w:t>
      </w:r>
      <w:r>
        <w:rPr>
          <w:sz w:val="20"/>
          <w:szCs w:val="20"/>
        </w:rPr>
        <w:t>0</w:t>
      </w:r>
      <w:r>
        <w:rPr>
          <w:sz w:val="20"/>
          <w:szCs w:val="20"/>
        </w:rPr>
        <w:t xml:space="preserve"> million sublimit for swing line loans that enables CoreCivic to borrow at the base rate from the Adm</w:t>
      </w:r>
      <w:r>
        <w:rPr>
          <w:sz w:val="20"/>
          <w:szCs w:val="20"/>
        </w:rPr>
        <w:t>inistrative Agent on same-day notice.</w:t>
      </w:r>
      <w:r>
        <w:rPr>
          <w:sz w:val="20"/>
          <w:szCs w:val="20"/>
        </w:rPr>
        <w:t xml:space="preserve"> </w:t>
      </w:r>
      <w:r>
        <w:rPr>
          <w:sz w:val="20"/>
          <w:szCs w:val="20"/>
        </w:rPr>
        <w:t xml:space="preserve">CoreCivic recorded a charge of approximately </w:t>
      </w:r>
      <w:r>
        <w:rPr>
          <w:sz w:val="20"/>
          <w:szCs w:val="20"/>
        </w:rPr>
        <w:t>$</w:t>
      </w:r>
      <w:r>
        <w:rPr>
          <w:sz w:val="20"/>
          <w:szCs w:val="20"/>
        </w:rPr>
        <w:t>0.</w:t>
      </w:r>
      <w:r>
        <w:rPr>
          <w:sz w:val="20"/>
          <w:szCs w:val="20"/>
        </w:rPr>
        <w:t>8</w:t>
      </w:r>
      <w:r>
        <w:rPr>
          <w:sz w:val="20"/>
          <w:szCs w:val="20"/>
        </w:rPr>
        <w:t xml:space="preserve"> million during the second quarter of 2022 for the write-off of a portion of the pre-existing loan costs associated with the Previous Bank Credit Facilit</w:t>
      </w:r>
      <w:r>
        <w:rPr>
          <w:sz w:val="20"/>
          <w:szCs w:val="20"/>
        </w:rPr>
        <w:t>y</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1464732807"/>
        <w:rPr>
          <w:sz w:val="20"/>
          <w:szCs w:val="20"/>
        </w:rPr>
      </w:pPr>
      <w:r>
        <w:rPr>
          <w:sz w:val="20"/>
          <w:szCs w:val="20"/>
        </w:rPr>
        <w:t>Based on Cor</w:t>
      </w:r>
      <w:r>
        <w:rPr>
          <w:sz w:val="20"/>
          <w:szCs w:val="20"/>
        </w:rPr>
        <w:t>eCivic's total leverage ratio, loans under the New Bank Credit Facility currently bear interest at a base rate plus a margin of</w:t>
      </w:r>
      <w:r>
        <w:rPr>
          <w:sz w:val="20"/>
          <w:szCs w:val="20"/>
        </w:rPr>
        <w:t xml:space="preserve"> </w:t>
      </w:r>
      <w:r>
        <w:rPr>
          <w:sz w:val="20"/>
          <w:szCs w:val="20"/>
        </w:rPr>
        <w:t>2.2</w:t>
      </w:r>
      <w:r>
        <w:rPr>
          <w:sz w:val="20"/>
          <w:szCs w:val="20"/>
        </w:rPr>
        <w:t>5</w:t>
      </w:r>
      <w:r>
        <w:rPr>
          <w:sz w:val="20"/>
          <w:szCs w:val="20"/>
        </w:rPr>
        <w:t>% or at the BSBY rate plus a margin of</w:t>
      </w:r>
      <w:r>
        <w:rPr>
          <w:sz w:val="20"/>
          <w:szCs w:val="20"/>
        </w:rPr>
        <w:t xml:space="preserve"> </w:t>
      </w:r>
      <w:r>
        <w:rPr>
          <w:sz w:val="20"/>
          <w:szCs w:val="20"/>
        </w:rPr>
        <w:t>3.2</w:t>
      </w:r>
      <w:r>
        <w:rPr>
          <w:sz w:val="20"/>
          <w:szCs w:val="20"/>
        </w:rPr>
        <w:t>5</w:t>
      </w:r>
      <w:r>
        <w:rPr>
          <w:sz w:val="20"/>
          <w:szCs w:val="20"/>
        </w:rPr>
        <w:t>%, and a commitment fee equal to</w:t>
      </w:r>
      <w:r>
        <w:rPr>
          <w:sz w:val="20"/>
          <w:szCs w:val="20"/>
        </w:rPr>
        <w:t xml:space="preserve"> </w:t>
      </w:r>
      <w:r>
        <w:rPr>
          <w:sz w:val="20"/>
          <w:szCs w:val="20"/>
        </w:rPr>
        <w:t>0.4</w:t>
      </w:r>
      <w:r>
        <w:rPr>
          <w:sz w:val="20"/>
          <w:szCs w:val="20"/>
        </w:rPr>
        <w:t>5</w:t>
      </w:r>
      <w:r>
        <w:rPr>
          <w:sz w:val="20"/>
          <w:szCs w:val="20"/>
        </w:rPr>
        <w:t>% of the unfunded balance of the New Revolvi</w:t>
      </w:r>
      <w:r>
        <w:rPr>
          <w:sz w:val="20"/>
          <w:szCs w:val="20"/>
        </w:rPr>
        <w:t xml:space="preserve">ng Credit Facility. The New Revolving Credit Facility also has a </w:t>
      </w:r>
      <w:r>
        <w:rPr>
          <w:sz w:val="20"/>
          <w:szCs w:val="20"/>
        </w:rPr>
        <w:t>$</w:t>
      </w:r>
      <w:r>
        <w:rPr>
          <w:sz w:val="20"/>
          <w:szCs w:val="20"/>
        </w:rPr>
        <w:t>100.</w:t>
      </w:r>
      <w:r>
        <w:rPr>
          <w:sz w:val="20"/>
          <w:szCs w:val="20"/>
        </w:rPr>
        <w:t>0</w:t>
      </w:r>
      <w:r>
        <w:rPr>
          <w:sz w:val="20"/>
          <w:szCs w:val="20"/>
        </w:rPr>
        <w:t xml:space="preserve"> million sublimit for the issuance of standby letters of credit. As of</w:t>
      </w:r>
      <w:r>
        <w:rPr>
          <w:sz w:val="20"/>
          <w:szCs w:val="20"/>
        </w:rPr>
        <w:t xml:space="preserve"> </w:t>
      </w:r>
      <w:r>
        <w:rPr>
          <w:sz w:val="20"/>
          <w:szCs w:val="20"/>
        </w:rPr>
        <w:t>December 31, 202</w:t>
      </w:r>
      <w:r>
        <w:rPr>
          <w:sz w:val="20"/>
          <w:szCs w:val="20"/>
        </w:rPr>
        <w:t>2</w:t>
      </w:r>
      <w:r>
        <w:rPr>
          <w:sz w:val="20"/>
          <w:szCs w:val="20"/>
        </w:rPr>
        <w:t>, CoreCivic had</w:t>
      </w:r>
      <w:r>
        <w:rPr>
          <w:sz w:val="20"/>
          <w:szCs w:val="20"/>
        </w:rPr>
        <w:t xml:space="preserve"> </w:t>
      </w:r>
      <w:r>
        <w:rPr>
          <w:sz w:val="20"/>
          <w:szCs w:val="20"/>
        </w:rPr>
        <w:t>n</w:t>
      </w:r>
      <w:r>
        <w:rPr>
          <w:sz w:val="20"/>
          <w:szCs w:val="20"/>
        </w:rPr>
        <w:t>o</w:t>
      </w:r>
      <w:r>
        <w:rPr>
          <w:sz w:val="20"/>
          <w:szCs w:val="20"/>
        </w:rPr>
        <w:t xml:space="preserve"> borrowings outstanding under the Revolving Credit Facility. As of</w:t>
      </w:r>
      <w:r>
        <w:rPr>
          <w:sz w:val="20"/>
          <w:szCs w:val="20"/>
        </w:rPr>
        <w:t xml:space="preserve"> </w:t>
      </w:r>
      <w:r>
        <w:rPr>
          <w:sz w:val="20"/>
          <w:szCs w:val="20"/>
        </w:rPr>
        <w:t>December 31,</w:t>
      </w:r>
      <w:r>
        <w:rPr>
          <w:sz w:val="20"/>
          <w:szCs w:val="20"/>
        </w:rPr>
        <w:t xml:space="preserve"> 2022, CoreCivic had</w:t>
      </w:r>
      <w:r>
        <w:rPr>
          <w:sz w:val="20"/>
          <w:szCs w:val="20"/>
        </w:rPr>
        <w:t xml:space="preserve"> </w:t>
      </w:r>
      <w:r>
        <w:rPr>
          <w:sz w:val="20"/>
          <w:szCs w:val="20"/>
        </w:rPr>
        <w:t>$</w:t>
      </w:r>
      <w:r>
        <w:rPr>
          <w:sz w:val="20"/>
          <w:szCs w:val="20"/>
        </w:rPr>
        <w:t>16.</w:t>
      </w:r>
      <w:r>
        <w:rPr>
          <w:sz w:val="20"/>
          <w:szCs w:val="20"/>
        </w:rPr>
        <w:t>8</w:t>
      </w:r>
      <w:r>
        <w:rPr>
          <w:sz w:val="20"/>
          <w:szCs w:val="20"/>
        </w:rPr>
        <w:t xml:space="preserve"> millio</w:t>
      </w:r>
      <w:r>
        <w:rPr>
          <w:sz w:val="20"/>
          <w:szCs w:val="20"/>
        </w:rPr>
        <w:t>n</w:t>
      </w:r>
      <w:r>
        <w:rPr>
          <w:sz w:val="20"/>
          <w:szCs w:val="20"/>
        </w:rPr>
        <w:t xml:space="preserve"> in letters of credit outstanding, resulting in</w:t>
      </w:r>
      <w:r>
        <w:rPr>
          <w:sz w:val="20"/>
          <w:szCs w:val="20"/>
        </w:rPr>
        <w:t xml:space="preserve"> </w:t>
      </w:r>
      <w:r>
        <w:rPr>
          <w:sz w:val="20"/>
          <w:szCs w:val="20"/>
        </w:rPr>
        <w:t>$</w:t>
      </w:r>
      <w:r>
        <w:rPr>
          <w:sz w:val="20"/>
          <w:szCs w:val="20"/>
        </w:rPr>
        <w:t>233.</w:t>
      </w:r>
      <w:r>
        <w:rPr>
          <w:sz w:val="20"/>
          <w:szCs w:val="20"/>
        </w:rPr>
        <w:t>2</w:t>
      </w:r>
      <w:r>
        <w:rPr>
          <w:sz w:val="20"/>
          <w:szCs w:val="20"/>
        </w:rPr>
        <w:t xml:space="preserve"> millio</w:t>
      </w:r>
      <w:r>
        <w:rPr>
          <w:sz w:val="20"/>
          <w:szCs w:val="20"/>
        </w:rPr>
        <w:t>n</w:t>
      </w:r>
      <w:r>
        <w:rPr>
          <w:sz w:val="20"/>
          <w:szCs w:val="20"/>
        </w:rPr>
        <w:t xml:space="preserve"> available under the New Revolving Credit Facility. The New Term Loan A requires scheduled quarterly principal payments through December 2025, and is pre-payabl</w:t>
      </w:r>
      <w:r>
        <w:rPr>
          <w:sz w:val="20"/>
          <w:szCs w:val="20"/>
        </w:rPr>
        <w:t>e without penalty. As of December 31, 2022, the outstanding balance of the New Term Loan A was</w:t>
      </w:r>
      <w:r>
        <w:rPr>
          <w:sz w:val="20"/>
          <w:szCs w:val="20"/>
        </w:rPr>
        <w:t xml:space="preserve"> </w:t>
      </w:r>
      <w:r>
        <w:rPr>
          <w:sz w:val="20"/>
          <w:szCs w:val="20"/>
        </w:rPr>
        <w:t>$</w:t>
      </w:r>
      <w:r>
        <w:rPr>
          <w:sz w:val="20"/>
          <w:szCs w:val="20"/>
        </w:rPr>
        <w:t>96.</w:t>
      </w:r>
      <w:r>
        <w:rPr>
          <w:sz w:val="20"/>
          <w:szCs w:val="20"/>
        </w:rPr>
        <w:t>3</w:t>
      </w:r>
      <w:r>
        <w:rPr>
          <w:sz w:val="20"/>
          <w:szCs w:val="20"/>
        </w:rPr>
        <w:t xml:space="preserve"> millio</w:t>
      </w:r>
      <w:r>
        <w:rPr>
          <w:sz w:val="20"/>
          <w:szCs w:val="20"/>
        </w:rPr>
        <w:t>n</w:t>
      </w:r>
      <w:r>
        <w:rPr>
          <w:sz w:val="20"/>
          <w:szCs w:val="20"/>
        </w:rPr>
        <w:t>.</w:t>
      </w:r>
    </w:p>
    <w:p w:rsidR="00000000" w:rsidRDefault="006D723D">
      <w:pPr>
        <w:pStyle w:val="a3"/>
        <w:spacing w:before="240" w:beforeAutospacing="0" w:after="0" w:afterAutospacing="0"/>
        <w:ind w:left="476"/>
        <w:jc w:val="both"/>
        <w:divId w:val="1464732807"/>
        <w:rPr>
          <w:sz w:val="20"/>
          <w:szCs w:val="20"/>
        </w:rPr>
      </w:pPr>
      <w:r>
        <w:rPr>
          <w:sz w:val="20"/>
          <w:szCs w:val="20"/>
        </w:rPr>
        <w:t xml:space="preserve">The New Bank Credit Facility requires CoreCivic to meet certain financial covenants, including, without limitation, a total leverage ratio of not </w:t>
      </w:r>
      <w:r>
        <w:rPr>
          <w:sz w:val="20"/>
          <w:szCs w:val="20"/>
        </w:rPr>
        <w:t>more than</w:t>
      </w:r>
      <w:r>
        <w:rPr>
          <w:sz w:val="20"/>
          <w:szCs w:val="20"/>
        </w:rPr>
        <w:t xml:space="preserve"> </w:t>
      </w:r>
      <w:r>
        <w:rPr>
          <w:sz w:val="20"/>
          <w:szCs w:val="20"/>
        </w:rPr>
        <w:t>4.5</w:t>
      </w:r>
      <w:r>
        <w:rPr>
          <w:sz w:val="20"/>
          <w:szCs w:val="20"/>
        </w:rPr>
        <w:t>0</w:t>
      </w:r>
      <w:r>
        <w:rPr>
          <w:sz w:val="20"/>
          <w:szCs w:val="20"/>
        </w:rPr>
        <w:t xml:space="preserve"> to 1.00 (from</w:t>
      </w:r>
      <w:r>
        <w:rPr>
          <w:sz w:val="20"/>
          <w:szCs w:val="20"/>
        </w:rPr>
        <w:t xml:space="preserve"> </w:t>
      </w:r>
      <w:r>
        <w:rPr>
          <w:sz w:val="20"/>
          <w:szCs w:val="20"/>
        </w:rPr>
        <w:t>5.5</w:t>
      </w:r>
      <w:r>
        <w:rPr>
          <w:sz w:val="20"/>
          <w:szCs w:val="20"/>
        </w:rPr>
        <w:t>0</w:t>
      </w:r>
      <w:r>
        <w:rPr>
          <w:sz w:val="20"/>
          <w:szCs w:val="20"/>
        </w:rPr>
        <w:t xml:space="preserve"> to 1.00 under the Previous Bank Credit Facility) for which the Company may net unrestricted cash and cash equivalents not exceeding </w:t>
      </w:r>
      <w:r>
        <w:rPr>
          <w:sz w:val="20"/>
          <w:szCs w:val="20"/>
        </w:rPr>
        <w:t>$</w:t>
      </w:r>
      <w:r>
        <w:rPr>
          <w:sz w:val="20"/>
          <w:szCs w:val="20"/>
        </w:rPr>
        <w:t>100.</w:t>
      </w:r>
      <w:r>
        <w:rPr>
          <w:sz w:val="20"/>
          <w:szCs w:val="20"/>
        </w:rPr>
        <w:t>0</w:t>
      </w:r>
      <w:r>
        <w:rPr>
          <w:sz w:val="20"/>
          <w:szCs w:val="20"/>
        </w:rPr>
        <w:t xml:space="preserve"> million when calculating, a secured leverage ratio of not more than</w:t>
      </w:r>
      <w:r>
        <w:rPr>
          <w:sz w:val="20"/>
          <w:szCs w:val="20"/>
        </w:rPr>
        <w:t xml:space="preserve"> </w:t>
      </w:r>
      <w:r>
        <w:rPr>
          <w:sz w:val="20"/>
          <w:szCs w:val="20"/>
        </w:rPr>
        <w:t>2.5</w:t>
      </w:r>
      <w:r>
        <w:rPr>
          <w:sz w:val="20"/>
          <w:szCs w:val="20"/>
        </w:rPr>
        <w:t>0</w:t>
      </w:r>
      <w:r>
        <w:rPr>
          <w:sz w:val="20"/>
          <w:szCs w:val="20"/>
        </w:rPr>
        <w:t xml:space="preserve"> to 1.00 (f</w:t>
      </w:r>
      <w:r>
        <w:rPr>
          <w:sz w:val="20"/>
          <w:szCs w:val="20"/>
        </w:rPr>
        <w:t>rom</w:t>
      </w:r>
      <w:r>
        <w:rPr>
          <w:sz w:val="20"/>
          <w:szCs w:val="20"/>
        </w:rPr>
        <w:t xml:space="preserve"> </w:t>
      </w:r>
      <w:r>
        <w:rPr>
          <w:sz w:val="20"/>
          <w:szCs w:val="20"/>
        </w:rPr>
        <w:t>3.2</w:t>
      </w:r>
      <w:r>
        <w:rPr>
          <w:sz w:val="20"/>
          <w:szCs w:val="20"/>
        </w:rPr>
        <w:t>5</w:t>
      </w:r>
      <w:r>
        <w:rPr>
          <w:sz w:val="20"/>
          <w:szCs w:val="20"/>
        </w:rPr>
        <w:t xml:space="preserve"> to 1.00 under the Previous Bank Credit Facility) for which the Company may net unrestricted cash and cash equivalents not exceeding </w:t>
      </w:r>
      <w:r>
        <w:rPr>
          <w:sz w:val="20"/>
          <w:szCs w:val="20"/>
        </w:rPr>
        <w:t>$</w:t>
      </w:r>
      <w:r>
        <w:rPr>
          <w:sz w:val="20"/>
          <w:szCs w:val="20"/>
        </w:rPr>
        <w:t>100.</w:t>
      </w:r>
      <w:r>
        <w:rPr>
          <w:sz w:val="20"/>
          <w:szCs w:val="20"/>
        </w:rPr>
        <w:t>0</w:t>
      </w:r>
      <w:r>
        <w:rPr>
          <w:sz w:val="20"/>
          <w:szCs w:val="20"/>
        </w:rPr>
        <w:t xml:space="preserve"> million when calculating, and a fixed charge coverage ratio of not less than</w:t>
      </w:r>
      <w:r>
        <w:rPr>
          <w:sz w:val="20"/>
          <w:szCs w:val="20"/>
        </w:rPr>
        <w:t xml:space="preserve"> </w:t>
      </w:r>
      <w:r>
        <w:rPr>
          <w:sz w:val="20"/>
          <w:szCs w:val="20"/>
        </w:rPr>
        <w:t>1.7</w:t>
      </w:r>
      <w:r>
        <w:rPr>
          <w:sz w:val="20"/>
          <w:szCs w:val="20"/>
        </w:rPr>
        <w:t>5</w:t>
      </w:r>
      <w:r>
        <w:rPr>
          <w:sz w:val="20"/>
          <w:szCs w:val="20"/>
        </w:rPr>
        <w:t xml:space="preserve"> to 1.00 (unchanged from th</w:t>
      </w:r>
      <w:r>
        <w:rPr>
          <w:sz w:val="20"/>
          <w:szCs w:val="20"/>
        </w:rPr>
        <w:t>e Previous Bank Credit Facility). As of</w:t>
      </w:r>
      <w:r>
        <w:rPr>
          <w:sz w:val="20"/>
          <w:szCs w:val="20"/>
        </w:rPr>
        <w:t xml:space="preserve"> </w:t>
      </w:r>
      <w:r>
        <w:rPr>
          <w:sz w:val="20"/>
          <w:szCs w:val="20"/>
        </w:rPr>
        <w:t>December 31, 202</w:t>
      </w:r>
      <w:r>
        <w:rPr>
          <w:sz w:val="20"/>
          <w:szCs w:val="20"/>
        </w:rPr>
        <w:t>2</w:t>
      </w:r>
      <w:r>
        <w:rPr>
          <w:sz w:val="20"/>
          <w:szCs w:val="20"/>
        </w:rPr>
        <w:t>, CoreCivic was in compliance with all such covenants. The New Bank Credit Facility is secured by a pledge of all of the capital stock (or other ownership interests) of CoreCivic's domestic restricte</w:t>
      </w:r>
      <w:r>
        <w:rPr>
          <w:sz w:val="20"/>
          <w:szCs w:val="20"/>
        </w:rPr>
        <w:t>d subsidiaries,</w:t>
      </w:r>
      <w:r>
        <w:rPr>
          <w:sz w:val="20"/>
          <w:szCs w:val="20"/>
        </w:rPr>
        <w:t xml:space="preserve"> </w:t>
      </w:r>
      <w:r>
        <w:rPr>
          <w:sz w:val="20"/>
          <w:szCs w:val="20"/>
        </w:rPr>
        <w:t>6</w:t>
      </w:r>
      <w:r>
        <w:rPr>
          <w:sz w:val="20"/>
          <w:szCs w:val="20"/>
        </w:rPr>
        <w:t>5</w:t>
      </w:r>
      <w:r>
        <w:rPr>
          <w:sz w:val="20"/>
          <w:szCs w:val="20"/>
        </w:rPr>
        <w:t xml:space="preserve">% of the capital stock (or other ownership interests) of CoreCivic's "first-tier" foreign subsidiaries, all of the accounts receivable of the Company and its domestic restricted subsidiaries, and substantially all of the deposit accounts </w:t>
      </w:r>
      <w:r>
        <w:rPr>
          <w:sz w:val="20"/>
          <w:szCs w:val="20"/>
        </w:rPr>
        <w:t>of the Company and its domestic restricted subsidiaries. In the event that (a) the consolidated total leverage equals or exceeds</w:t>
      </w:r>
      <w:r>
        <w:rPr>
          <w:sz w:val="20"/>
          <w:szCs w:val="20"/>
        </w:rPr>
        <w:t xml:space="preserve"> </w:t>
      </w:r>
      <w:r>
        <w:rPr>
          <w:sz w:val="20"/>
          <w:szCs w:val="20"/>
        </w:rPr>
        <w:t>4.0</w:t>
      </w:r>
      <w:r>
        <w:rPr>
          <w:sz w:val="20"/>
          <w:szCs w:val="20"/>
        </w:rPr>
        <w:t>0</w:t>
      </w:r>
      <w:r>
        <w:rPr>
          <w:sz w:val="20"/>
          <w:szCs w:val="20"/>
        </w:rPr>
        <w:t xml:space="preserve"> to 1.00 or (b) the Company incurs certain debt above a specified threshold, certain intangible assets and unencumbered rea</w:t>
      </w:r>
      <w:r>
        <w:rPr>
          <w:sz w:val="20"/>
          <w:szCs w:val="20"/>
        </w:rPr>
        <w:t>l estate assets that meet a</w:t>
      </w:r>
      <w:r>
        <w:rPr>
          <w:sz w:val="20"/>
          <w:szCs w:val="20"/>
        </w:rPr>
        <w:t xml:space="preserve"> </w:t>
      </w:r>
      <w:r>
        <w:rPr>
          <w:sz w:val="20"/>
          <w:szCs w:val="20"/>
        </w:rPr>
        <w:t>5</w:t>
      </w:r>
      <w:r>
        <w:rPr>
          <w:sz w:val="20"/>
          <w:szCs w:val="20"/>
        </w:rPr>
        <w:t>0</w:t>
      </w:r>
      <w:r>
        <w:rPr>
          <w:sz w:val="20"/>
          <w:szCs w:val="20"/>
        </w:rPr>
        <w:t>% loan-to-value requirement are required to be added as collateral. In addition, the New Bank Credit Facility contains certain covenants that, among other things, limit the incurrence of additional indebtedness, payment of div</w:t>
      </w:r>
      <w:r>
        <w:rPr>
          <w:sz w:val="20"/>
          <w:szCs w:val="20"/>
        </w:rPr>
        <w:t xml:space="preserve">idends and other customary restricted payments, permitted investments, transactions with affiliates, asset sales, mergers and consolidations, liquidations, prepayments and modifications of other indebtedness, liens and other encumbrances and other matters </w:t>
      </w:r>
      <w:r>
        <w:rPr>
          <w:sz w:val="20"/>
          <w:szCs w:val="20"/>
        </w:rPr>
        <w:t>customarily restricted in such agreements. The New Bank Credit Facility is subject to certain cross-default provisions with terms of CoreCivic's other unsecured indebtedness and is subject to acceleration upon the occurrence of a change of control</w:t>
      </w:r>
      <w:r>
        <w:rPr>
          <w:sz w:val="20"/>
          <w:szCs w:val="20"/>
        </w:rPr>
        <w:t>.</w:t>
      </w:r>
      <w:r>
        <w:rPr>
          <w:sz w:val="20"/>
          <w:szCs w:val="20"/>
        </w:rPr>
        <w:t xml:space="preserve"> </w:t>
      </w:r>
    </w:p>
    <w:p w:rsidR="00000000" w:rsidRDefault="006D723D">
      <w:pPr>
        <w:pStyle w:val="a3"/>
        <w:spacing w:before="0" w:beforeAutospacing="0" w:after="0" w:afterAutospacing="0"/>
        <w:jc w:val="center"/>
        <w:divId w:val="1464732807"/>
        <w:rPr>
          <w:sz w:val="20"/>
          <w:szCs w:val="20"/>
        </w:rPr>
      </w:pPr>
      <w:r>
        <w:rPr>
          <w:sz w:val="20"/>
          <w:szCs w:val="20"/>
        </w:rPr>
        <w:t>F</w:t>
      </w:r>
      <w:r>
        <w:rPr>
          <w:sz w:val="20"/>
          <w:szCs w:val="20"/>
        </w:rPr>
        <w:t>-</w:t>
      </w:r>
      <w:r>
        <w:rPr>
          <w:sz w:val="20"/>
          <w:szCs w:val="20"/>
        </w:rPr>
        <w:t>2</w:t>
      </w:r>
      <w:r>
        <w:rPr>
          <w:sz w:val="20"/>
          <w:szCs w:val="20"/>
        </w:rPr>
        <w:t>4</w:t>
      </w:r>
    </w:p>
    <w:p w:rsidR="00000000" w:rsidRDefault="006D723D">
      <w:pPr>
        <w:divId w:val="1464732807"/>
        <w:rPr>
          <w:rFonts w:eastAsia="Times New Roman"/>
          <w:sz w:val="20"/>
          <w:szCs w:val="20"/>
        </w:rPr>
      </w:pPr>
      <w:r>
        <w:rPr>
          <w:rFonts w:eastAsia="Times New Roman"/>
          <w:sz w:val="20"/>
          <w:szCs w:val="20"/>
        </w:rPr>
        <w:pict>
          <v:rect id="_x0000_i1152" style="width:0;height:1.5pt" o:hralign="center" o:hrstd="t" o:hr="t" fillcolor="#a0a0a0" stroked="f"/>
        </w:pict>
      </w:r>
    </w:p>
    <w:p w:rsidR="00000000" w:rsidRDefault="006D723D">
      <w:pPr>
        <w:pStyle w:val="a3"/>
        <w:spacing w:before="0" w:beforeAutospacing="0" w:after="0" w:afterAutospacing="0"/>
        <w:divId w:val="1464732807"/>
        <w:rPr>
          <w:sz w:val="20"/>
          <w:szCs w:val="20"/>
        </w:rPr>
      </w:pPr>
      <w:r>
        <w:rPr>
          <w:sz w:val="20"/>
          <w:szCs w:val="20"/>
        </w:rPr>
        <w:t> </w:t>
      </w:r>
    </w:p>
    <w:p w:rsidR="00000000" w:rsidRDefault="006D723D">
      <w:pPr>
        <w:pStyle w:val="a3"/>
        <w:spacing w:before="240" w:beforeAutospacing="0" w:after="0" w:afterAutospacing="0"/>
        <w:ind w:left="476"/>
        <w:jc w:val="both"/>
        <w:divId w:val="1464732807"/>
        <w:rPr>
          <w:sz w:val="20"/>
          <w:szCs w:val="20"/>
        </w:rPr>
      </w:pPr>
      <w:r>
        <w:rPr>
          <w:i/>
          <w:iCs/>
          <w:sz w:val="20"/>
          <w:szCs w:val="20"/>
        </w:rPr>
        <w:t>Senior Secured Term Loan B.</w:t>
      </w:r>
      <w:r>
        <w:rPr>
          <w:i/>
          <w:iCs/>
          <w:sz w:val="20"/>
          <w:szCs w:val="20"/>
        </w:rPr>
        <w:t xml:space="preserve"> </w:t>
      </w:r>
      <w:r>
        <w:rPr>
          <w:sz w:val="20"/>
          <w:szCs w:val="20"/>
        </w:rPr>
        <w:t xml:space="preserve">On December 18, 2019, CoreCivic entered into a </w:t>
      </w:r>
      <w:r>
        <w:rPr>
          <w:sz w:val="20"/>
          <w:szCs w:val="20"/>
        </w:rPr>
        <w:t>$</w:t>
      </w:r>
      <w:r>
        <w:rPr>
          <w:sz w:val="20"/>
          <w:szCs w:val="20"/>
        </w:rPr>
        <w:t>250.</w:t>
      </w:r>
      <w:r>
        <w:rPr>
          <w:sz w:val="20"/>
          <w:szCs w:val="20"/>
        </w:rPr>
        <w:t>0</w:t>
      </w:r>
      <w:r>
        <w:rPr>
          <w:sz w:val="20"/>
          <w:szCs w:val="20"/>
        </w:rPr>
        <w:t xml:space="preserve"> million Senior Secured Term Loan B (the "Term Loan B"), which required quarterly scheduled principal payments until the scheduled maturi</w:t>
      </w:r>
      <w:r>
        <w:rPr>
          <w:sz w:val="20"/>
          <w:szCs w:val="20"/>
        </w:rPr>
        <w:t>ty on</w:t>
      </w:r>
      <w:r>
        <w:rPr>
          <w:sz w:val="20"/>
          <w:szCs w:val="20"/>
        </w:rPr>
        <w:t xml:space="preserve"> </w:t>
      </w:r>
      <w:r>
        <w:rPr>
          <w:sz w:val="20"/>
          <w:szCs w:val="20"/>
        </w:rPr>
        <w:t>December 18, 202</w:t>
      </w:r>
      <w:r>
        <w:rPr>
          <w:sz w:val="20"/>
          <w:szCs w:val="20"/>
        </w:rPr>
        <w:t>4</w:t>
      </w:r>
      <w:r>
        <w:rPr>
          <w:sz w:val="20"/>
          <w:szCs w:val="20"/>
        </w:rPr>
        <w:t xml:space="preserve">. During October 2021 and in accordance with the terms of the Term Loan B, CoreCivic repaid </w:t>
      </w:r>
      <w:r>
        <w:rPr>
          <w:sz w:val="20"/>
          <w:szCs w:val="20"/>
        </w:rPr>
        <w:t>$</w:t>
      </w:r>
      <w:r>
        <w:rPr>
          <w:sz w:val="20"/>
          <w:szCs w:val="20"/>
        </w:rPr>
        <w:t>90.</w:t>
      </w:r>
      <w:r>
        <w:rPr>
          <w:sz w:val="20"/>
          <w:szCs w:val="20"/>
        </w:rPr>
        <w:t>0</w:t>
      </w:r>
      <w:r>
        <w:rPr>
          <w:sz w:val="20"/>
          <w:szCs w:val="20"/>
        </w:rPr>
        <w:t xml:space="preserve"> million of the then-outstanding balance of the Term Loan B using cash on hand. As a result, the Company recorded a charge in the fourth</w:t>
      </w:r>
      <w:r>
        <w:rPr>
          <w:sz w:val="20"/>
          <w:szCs w:val="20"/>
        </w:rPr>
        <w:t xml:space="preserve"> quarter of 2021 of </w:t>
      </w:r>
      <w:r>
        <w:rPr>
          <w:sz w:val="20"/>
          <w:szCs w:val="20"/>
        </w:rPr>
        <w:t>$</w:t>
      </w:r>
      <w:r>
        <w:rPr>
          <w:sz w:val="20"/>
          <w:szCs w:val="20"/>
        </w:rPr>
        <w:t>4.</w:t>
      </w:r>
      <w:r>
        <w:rPr>
          <w:sz w:val="20"/>
          <w:szCs w:val="20"/>
        </w:rPr>
        <w:t>1</w:t>
      </w:r>
      <w:r>
        <w:rPr>
          <w:sz w:val="20"/>
          <w:szCs w:val="20"/>
        </w:rPr>
        <w:t xml:space="preserve"> million for the pro rata write-off of unamortized debt issuance costs and the original issue discount. On May 19, 2022, CoreCivic voluntarily repaid in full the outstanding principal balance under the Term Loan B amounting to </w:t>
      </w:r>
      <w:r>
        <w:rPr>
          <w:sz w:val="20"/>
          <w:szCs w:val="20"/>
        </w:rPr>
        <w:t>$</w:t>
      </w:r>
      <w:r>
        <w:rPr>
          <w:sz w:val="20"/>
          <w:szCs w:val="20"/>
        </w:rPr>
        <w:t>124.</w:t>
      </w:r>
      <w:r>
        <w:rPr>
          <w:sz w:val="20"/>
          <w:szCs w:val="20"/>
        </w:rPr>
        <w:t>1</w:t>
      </w:r>
      <w:r>
        <w:rPr>
          <w:sz w:val="20"/>
          <w:szCs w:val="20"/>
        </w:rPr>
        <w:t xml:space="preserve"> million, and satisfied all of the Company's outstanding obligations under the Term Loan B credit agreement. The Company did not incur any prepayment penalties in connection with the repayment of the Term Loan B. The prepayment was made in full with cash </w:t>
      </w:r>
      <w:r>
        <w:rPr>
          <w:sz w:val="20"/>
          <w:szCs w:val="20"/>
        </w:rPr>
        <w:t>on hand. The Term Loan B bore interest at the London Interbank Offered Rate ("LIBOR") plus</w:t>
      </w:r>
      <w:r>
        <w:rPr>
          <w:sz w:val="20"/>
          <w:szCs w:val="20"/>
        </w:rPr>
        <w:t xml:space="preserve"> </w:t>
      </w:r>
      <w:r>
        <w:rPr>
          <w:sz w:val="20"/>
          <w:szCs w:val="20"/>
        </w:rPr>
        <w:t>4.5</w:t>
      </w:r>
      <w:r>
        <w:rPr>
          <w:sz w:val="20"/>
          <w:szCs w:val="20"/>
        </w:rPr>
        <w:t>0</w:t>
      </w:r>
      <w:r>
        <w:rPr>
          <w:sz w:val="20"/>
          <w:szCs w:val="20"/>
        </w:rPr>
        <w:t>%, with a</w:t>
      </w:r>
      <w:r>
        <w:rPr>
          <w:sz w:val="20"/>
          <w:szCs w:val="20"/>
        </w:rPr>
        <w:t xml:space="preserve"> </w:t>
      </w:r>
      <w:r>
        <w:rPr>
          <w:sz w:val="20"/>
          <w:szCs w:val="20"/>
        </w:rPr>
        <w:t>1.0</w:t>
      </w:r>
      <w:r>
        <w:rPr>
          <w:sz w:val="20"/>
          <w:szCs w:val="20"/>
        </w:rPr>
        <w:t>0</w:t>
      </w:r>
      <w:r>
        <w:rPr>
          <w:sz w:val="20"/>
          <w:szCs w:val="20"/>
        </w:rPr>
        <w:t>% LIBOR floor (or, at CoreCivic's option, a base rate plus</w:t>
      </w:r>
      <w:r>
        <w:rPr>
          <w:sz w:val="20"/>
          <w:szCs w:val="20"/>
        </w:rPr>
        <w:t xml:space="preserve"> </w:t>
      </w:r>
      <w:r>
        <w:rPr>
          <w:sz w:val="20"/>
          <w:szCs w:val="20"/>
        </w:rPr>
        <w:t>3.5</w:t>
      </w:r>
      <w:r>
        <w:rPr>
          <w:sz w:val="20"/>
          <w:szCs w:val="20"/>
        </w:rPr>
        <w:t>0</w:t>
      </w:r>
      <w:r>
        <w:rPr>
          <w:sz w:val="20"/>
          <w:szCs w:val="20"/>
        </w:rPr>
        <w:t>%). The Term Loan B was secured by a first lien on certain specified real property a</w:t>
      </w:r>
      <w:r>
        <w:rPr>
          <w:sz w:val="20"/>
          <w:szCs w:val="20"/>
        </w:rPr>
        <w:t>ssets, representing a loan-to-value of no greater than</w:t>
      </w:r>
      <w:r>
        <w:rPr>
          <w:sz w:val="20"/>
          <w:szCs w:val="20"/>
        </w:rPr>
        <w:t xml:space="preserve"> </w:t>
      </w:r>
      <w:r>
        <w:rPr>
          <w:sz w:val="20"/>
          <w:szCs w:val="20"/>
        </w:rPr>
        <w:t>8</w:t>
      </w:r>
      <w:r>
        <w:rPr>
          <w:sz w:val="20"/>
          <w:szCs w:val="20"/>
        </w:rPr>
        <w:t>0</w:t>
      </w:r>
      <w:r>
        <w:rPr>
          <w:sz w:val="20"/>
          <w:szCs w:val="20"/>
        </w:rPr>
        <w:t>%. The Term Loan B was originally issued at a price of</w:t>
      </w:r>
      <w:r>
        <w:rPr>
          <w:sz w:val="20"/>
          <w:szCs w:val="20"/>
        </w:rPr>
        <w:t xml:space="preserve"> </w:t>
      </w:r>
      <w:r>
        <w:rPr>
          <w:sz w:val="20"/>
          <w:szCs w:val="20"/>
        </w:rPr>
        <w:t>9</w:t>
      </w:r>
      <w:r>
        <w:rPr>
          <w:sz w:val="20"/>
          <w:szCs w:val="20"/>
        </w:rPr>
        <w:t>5</w:t>
      </w:r>
      <w:r>
        <w:rPr>
          <w:sz w:val="20"/>
          <w:szCs w:val="20"/>
        </w:rPr>
        <w:t xml:space="preserve">% of the principal amount of the Term Loan B, resulting in a discount of </w:t>
      </w:r>
      <w:r>
        <w:rPr>
          <w:sz w:val="20"/>
          <w:szCs w:val="20"/>
        </w:rPr>
        <w:t>$</w:t>
      </w:r>
      <w:r>
        <w:rPr>
          <w:sz w:val="20"/>
          <w:szCs w:val="20"/>
        </w:rPr>
        <w:t>12.</w:t>
      </w:r>
      <w:r>
        <w:rPr>
          <w:sz w:val="20"/>
          <w:szCs w:val="20"/>
        </w:rPr>
        <w:t>5</w:t>
      </w:r>
      <w:r>
        <w:rPr>
          <w:sz w:val="20"/>
          <w:szCs w:val="20"/>
        </w:rPr>
        <w:t xml:space="preserve"> million, which was amortized into interest expense over the ter</w:t>
      </w:r>
      <w:r>
        <w:rPr>
          <w:sz w:val="20"/>
          <w:szCs w:val="20"/>
        </w:rPr>
        <w:t xml:space="preserve">m of the Term Loan B. CoreCivic capitalized approximately </w:t>
      </w:r>
      <w:r>
        <w:rPr>
          <w:sz w:val="20"/>
          <w:szCs w:val="20"/>
        </w:rPr>
        <w:t>$</w:t>
      </w:r>
      <w:r>
        <w:rPr>
          <w:sz w:val="20"/>
          <w:szCs w:val="20"/>
        </w:rPr>
        <w:t>5.</w:t>
      </w:r>
      <w:r>
        <w:rPr>
          <w:sz w:val="20"/>
          <w:szCs w:val="20"/>
        </w:rPr>
        <w:t>1</w:t>
      </w:r>
      <w:r>
        <w:rPr>
          <w:sz w:val="20"/>
          <w:szCs w:val="20"/>
        </w:rPr>
        <w:t xml:space="preserve"> million of costs associated with the issuance of the Term Loan B. During the second quarter of 2022, the Company recorded a charge of </w:t>
      </w:r>
      <w:r>
        <w:rPr>
          <w:sz w:val="20"/>
          <w:szCs w:val="20"/>
        </w:rPr>
        <w:t>$</w:t>
      </w:r>
      <w:r>
        <w:rPr>
          <w:sz w:val="20"/>
          <w:szCs w:val="20"/>
        </w:rPr>
        <w:t>6.</w:t>
      </w:r>
      <w:r>
        <w:rPr>
          <w:sz w:val="20"/>
          <w:szCs w:val="20"/>
        </w:rPr>
        <w:t>0</w:t>
      </w:r>
      <w:r>
        <w:rPr>
          <w:sz w:val="20"/>
          <w:szCs w:val="20"/>
        </w:rPr>
        <w:t xml:space="preserve"> million for the write-off of the remaining unamortized</w:t>
      </w:r>
      <w:r>
        <w:rPr>
          <w:sz w:val="20"/>
          <w:szCs w:val="20"/>
        </w:rPr>
        <w:t xml:space="preserve"> debt issuance costs, original issue discount, and fees associated with the voluntary repayment of the Term Loan B</w:t>
      </w:r>
      <w:r>
        <w:rPr>
          <w:sz w:val="20"/>
          <w:szCs w:val="20"/>
        </w:rPr>
        <w:t>.</w:t>
      </w:r>
    </w:p>
    <w:p w:rsidR="00000000" w:rsidRDefault="006D723D">
      <w:pPr>
        <w:pStyle w:val="a3"/>
        <w:spacing w:before="240" w:beforeAutospacing="0" w:after="0" w:afterAutospacing="0"/>
        <w:ind w:left="476"/>
        <w:jc w:val="both"/>
        <w:divId w:val="1464732807"/>
        <w:rPr>
          <w:sz w:val="20"/>
          <w:szCs w:val="20"/>
        </w:rPr>
      </w:pPr>
      <w:r>
        <w:rPr>
          <w:i/>
          <w:iCs/>
          <w:sz w:val="20"/>
          <w:szCs w:val="20"/>
        </w:rPr>
        <w:t>Senior Notes</w:t>
      </w:r>
      <w:r>
        <w:rPr>
          <w:i/>
          <w:iCs/>
          <w:sz w:val="20"/>
          <w:szCs w:val="20"/>
        </w:rPr>
        <w:t>.</w:t>
      </w:r>
      <w:r>
        <w:rPr>
          <w:sz w:val="20"/>
          <w:szCs w:val="20"/>
        </w:rPr>
        <w:t xml:space="preserve"> Interest on the</w:t>
      </w:r>
      <w:r>
        <w:rPr>
          <w:sz w:val="20"/>
          <w:szCs w:val="20"/>
        </w:rPr>
        <w:t xml:space="preserve"> </w:t>
      </w:r>
      <w:r>
        <w:rPr>
          <w:sz w:val="20"/>
          <w:szCs w:val="20"/>
        </w:rPr>
        <w:t>$</w:t>
      </w:r>
      <w:r>
        <w:rPr>
          <w:sz w:val="20"/>
          <w:szCs w:val="20"/>
        </w:rPr>
        <w:t>153.</w:t>
      </w:r>
      <w:r>
        <w:rPr>
          <w:sz w:val="20"/>
          <w:szCs w:val="20"/>
        </w:rPr>
        <w:t>8</w:t>
      </w:r>
      <w:r>
        <w:rPr>
          <w:sz w:val="20"/>
          <w:szCs w:val="20"/>
        </w:rPr>
        <w:t xml:space="preserve"> millio</w:t>
      </w:r>
      <w:r>
        <w:rPr>
          <w:sz w:val="20"/>
          <w:szCs w:val="20"/>
        </w:rPr>
        <w:t>n</w:t>
      </w:r>
      <w:r>
        <w:rPr>
          <w:sz w:val="20"/>
          <w:szCs w:val="20"/>
        </w:rPr>
        <w:t xml:space="preserve"> remaining principal balance outstanding on CoreCivic's</w:t>
      </w:r>
      <w:r>
        <w:rPr>
          <w:sz w:val="20"/>
          <w:szCs w:val="20"/>
        </w:rPr>
        <w:t xml:space="preserve"> </w:t>
      </w:r>
      <w:r>
        <w:rPr>
          <w:sz w:val="20"/>
          <w:szCs w:val="20"/>
        </w:rPr>
        <w:t>4.62</w:t>
      </w:r>
      <w:r>
        <w:rPr>
          <w:sz w:val="20"/>
          <w:szCs w:val="20"/>
        </w:rPr>
        <w:t>5</w:t>
      </w:r>
      <w:r>
        <w:rPr>
          <w:sz w:val="20"/>
          <w:szCs w:val="20"/>
        </w:rPr>
        <w:t>% senior notes issued in April 2013</w:t>
      </w:r>
      <w:r>
        <w:rPr>
          <w:sz w:val="20"/>
          <w:szCs w:val="20"/>
        </w:rPr>
        <w:t xml:space="preserve"> with an original principal amount of </w:t>
      </w:r>
      <w:r>
        <w:rPr>
          <w:sz w:val="20"/>
          <w:szCs w:val="20"/>
        </w:rPr>
        <w:t>$</w:t>
      </w:r>
      <w:r>
        <w:rPr>
          <w:sz w:val="20"/>
          <w:szCs w:val="20"/>
        </w:rPr>
        <w:t>350.</w:t>
      </w:r>
      <w:r>
        <w:rPr>
          <w:sz w:val="20"/>
          <w:szCs w:val="20"/>
        </w:rPr>
        <w:t>0</w:t>
      </w:r>
      <w:r>
        <w:rPr>
          <w:sz w:val="20"/>
          <w:szCs w:val="20"/>
        </w:rPr>
        <w:t xml:space="preserve"> million (the </w:t>
      </w:r>
      <w:r>
        <w:rPr>
          <w:sz w:val="20"/>
          <w:szCs w:val="20"/>
        </w:rPr>
        <w:t>"</w:t>
      </w:r>
      <w:r>
        <w:rPr>
          <w:sz w:val="20"/>
          <w:szCs w:val="20"/>
        </w:rPr>
        <w:t>4.62</w:t>
      </w:r>
      <w:r>
        <w:rPr>
          <w:sz w:val="20"/>
          <w:szCs w:val="20"/>
        </w:rPr>
        <w:t>5</w:t>
      </w:r>
      <w:r>
        <w:rPr>
          <w:sz w:val="20"/>
          <w:szCs w:val="20"/>
        </w:rPr>
        <w:t>% Senior Notes") accrued at the stated rate and was payable in May and November of each year. The</w:t>
      </w:r>
      <w:r>
        <w:rPr>
          <w:sz w:val="20"/>
          <w:szCs w:val="20"/>
        </w:rPr>
        <w:t xml:space="preserve"> </w:t>
      </w:r>
      <w:r>
        <w:rPr>
          <w:sz w:val="20"/>
          <w:szCs w:val="20"/>
        </w:rPr>
        <w:t>4.62</w:t>
      </w:r>
      <w:r>
        <w:rPr>
          <w:sz w:val="20"/>
          <w:szCs w:val="20"/>
        </w:rPr>
        <w:t>5</w:t>
      </w:r>
      <w:r>
        <w:rPr>
          <w:sz w:val="20"/>
          <w:szCs w:val="20"/>
        </w:rPr>
        <w:t>% Senior Notes were scheduled to mature on</w:t>
      </w:r>
      <w:r>
        <w:rPr>
          <w:sz w:val="20"/>
          <w:szCs w:val="20"/>
        </w:rPr>
        <w:t xml:space="preserve"> </w:t>
      </w:r>
      <w:r>
        <w:rPr>
          <w:sz w:val="20"/>
          <w:szCs w:val="20"/>
        </w:rPr>
        <w:t>May 1, 202</w:t>
      </w:r>
      <w:r>
        <w:rPr>
          <w:sz w:val="20"/>
          <w:szCs w:val="20"/>
        </w:rPr>
        <w:t>3</w:t>
      </w:r>
      <w:r>
        <w:rPr>
          <w:sz w:val="20"/>
          <w:szCs w:val="20"/>
        </w:rPr>
        <w:t>. As further described hereinafter,</w:t>
      </w:r>
      <w:r>
        <w:rPr>
          <w:sz w:val="20"/>
          <w:szCs w:val="20"/>
        </w:rPr>
        <w:t xml:space="preserve"> the Company repaid in full the outstanding principal balance of the</w:t>
      </w:r>
      <w:r>
        <w:rPr>
          <w:sz w:val="20"/>
          <w:szCs w:val="20"/>
        </w:rPr>
        <w:t xml:space="preserve"> </w:t>
      </w:r>
      <w:r>
        <w:rPr>
          <w:sz w:val="20"/>
          <w:szCs w:val="20"/>
        </w:rPr>
        <w:t>4.62</w:t>
      </w:r>
      <w:r>
        <w:rPr>
          <w:sz w:val="20"/>
          <w:szCs w:val="20"/>
        </w:rPr>
        <w:t>5</w:t>
      </w:r>
      <w:r>
        <w:rPr>
          <w:sz w:val="20"/>
          <w:szCs w:val="20"/>
        </w:rPr>
        <w:t xml:space="preserve">% Senior Notes on February 1, 2023. Interest on the </w:t>
      </w:r>
      <w:r>
        <w:rPr>
          <w:sz w:val="20"/>
          <w:szCs w:val="20"/>
        </w:rPr>
        <w:t>$</w:t>
      </w:r>
      <w:r>
        <w:rPr>
          <w:sz w:val="20"/>
          <w:szCs w:val="20"/>
        </w:rPr>
        <w:t>250.</w:t>
      </w:r>
      <w:r>
        <w:rPr>
          <w:sz w:val="20"/>
          <w:szCs w:val="20"/>
        </w:rPr>
        <w:t>0</w:t>
      </w:r>
      <w:r>
        <w:rPr>
          <w:sz w:val="20"/>
          <w:szCs w:val="20"/>
        </w:rPr>
        <w:t xml:space="preserve"> million aggregate principal amount of CoreCivic's</w:t>
      </w:r>
      <w:r>
        <w:rPr>
          <w:sz w:val="20"/>
          <w:szCs w:val="20"/>
        </w:rPr>
        <w:t xml:space="preserve"> </w:t>
      </w:r>
      <w:r>
        <w:rPr>
          <w:sz w:val="20"/>
          <w:szCs w:val="20"/>
        </w:rPr>
        <w:t>4.7</w:t>
      </w:r>
      <w:r>
        <w:rPr>
          <w:sz w:val="20"/>
          <w:szCs w:val="20"/>
        </w:rPr>
        <w:t>5</w:t>
      </w:r>
      <w:r>
        <w:rPr>
          <w:sz w:val="20"/>
          <w:szCs w:val="20"/>
        </w:rPr>
        <w:t xml:space="preserve">% senior notes issued in October 2017 (the </w:t>
      </w:r>
      <w:r>
        <w:rPr>
          <w:sz w:val="20"/>
          <w:szCs w:val="20"/>
        </w:rPr>
        <w:t>"</w:t>
      </w:r>
      <w:r>
        <w:rPr>
          <w:sz w:val="20"/>
          <w:szCs w:val="20"/>
        </w:rPr>
        <w:t>4.7</w:t>
      </w:r>
      <w:r>
        <w:rPr>
          <w:sz w:val="20"/>
          <w:szCs w:val="20"/>
        </w:rPr>
        <w:t>5</w:t>
      </w:r>
      <w:r>
        <w:rPr>
          <w:sz w:val="20"/>
          <w:szCs w:val="20"/>
        </w:rPr>
        <w:t>% Senior Notes") accr</w:t>
      </w:r>
      <w:r>
        <w:rPr>
          <w:sz w:val="20"/>
          <w:szCs w:val="20"/>
        </w:rPr>
        <w:t>ues at the stated rate and is payable in April and October of each year. The</w:t>
      </w:r>
      <w:r>
        <w:rPr>
          <w:sz w:val="20"/>
          <w:szCs w:val="20"/>
        </w:rPr>
        <w:t xml:space="preserve"> </w:t>
      </w:r>
      <w:r>
        <w:rPr>
          <w:sz w:val="20"/>
          <w:szCs w:val="20"/>
        </w:rPr>
        <w:t>4.7</w:t>
      </w:r>
      <w:r>
        <w:rPr>
          <w:sz w:val="20"/>
          <w:szCs w:val="20"/>
        </w:rPr>
        <w:t>5</w:t>
      </w:r>
      <w:r>
        <w:rPr>
          <w:sz w:val="20"/>
          <w:szCs w:val="20"/>
        </w:rPr>
        <w:t>% Senior Notes are scheduled to mature on</w:t>
      </w:r>
      <w:r>
        <w:rPr>
          <w:sz w:val="20"/>
          <w:szCs w:val="20"/>
        </w:rPr>
        <w:t xml:space="preserve"> </w:t>
      </w:r>
      <w:r>
        <w:rPr>
          <w:sz w:val="20"/>
          <w:szCs w:val="20"/>
        </w:rPr>
        <w:t>October 15, 202</w:t>
      </w:r>
      <w:r>
        <w:rPr>
          <w:sz w:val="20"/>
          <w:szCs w:val="20"/>
        </w:rPr>
        <w:t>7</w:t>
      </w:r>
      <w:r>
        <w:rPr>
          <w:sz w:val="20"/>
          <w:szCs w:val="20"/>
        </w:rPr>
        <w:t>. Interest on the</w:t>
      </w:r>
      <w:r>
        <w:rPr>
          <w:sz w:val="20"/>
          <w:szCs w:val="20"/>
        </w:rPr>
        <w:t xml:space="preserve"> </w:t>
      </w:r>
      <w:r>
        <w:rPr>
          <w:sz w:val="20"/>
          <w:szCs w:val="20"/>
        </w:rPr>
        <w:t>$</w:t>
      </w:r>
      <w:r>
        <w:rPr>
          <w:sz w:val="20"/>
          <w:szCs w:val="20"/>
        </w:rPr>
        <w:t>614.</w:t>
      </w:r>
      <w:r>
        <w:rPr>
          <w:sz w:val="20"/>
          <w:szCs w:val="20"/>
        </w:rPr>
        <w:t>1</w:t>
      </w:r>
      <w:r>
        <w:rPr>
          <w:sz w:val="20"/>
          <w:szCs w:val="20"/>
        </w:rPr>
        <w:t xml:space="preserve"> millio</w:t>
      </w:r>
      <w:r>
        <w:rPr>
          <w:sz w:val="20"/>
          <w:szCs w:val="20"/>
        </w:rPr>
        <w:t>n</w:t>
      </w:r>
      <w:r>
        <w:rPr>
          <w:sz w:val="20"/>
          <w:szCs w:val="20"/>
        </w:rPr>
        <w:t xml:space="preserve"> remaining aggregate principal amount of CoreCivic's</w:t>
      </w:r>
      <w:r>
        <w:rPr>
          <w:sz w:val="20"/>
          <w:szCs w:val="20"/>
        </w:rPr>
        <w:t xml:space="preserve"> </w:t>
      </w:r>
      <w:r>
        <w:rPr>
          <w:sz w:val="20"/>
          <w:szCs w:val="20"/>
        </w:rPr>
        <w:t>8.2</w:t>
      </w:r>
      <w:r>
        <w:rPr>
          <w:sz w:val="20"/>
          <w:szCs w:val="20"/>
        </w:rPr>
        <w:t>5</w:t>
      </w:r>
      <w:r>
        <w:rPr>
          <w:sz w:val="20"/>
          <w:szCs w:val="20"/>
        </w:rPr>
        <w:t>% senior notes issued in Apr</w:t>
      </w:r>
      <w:r>
        <w:rPr>
          <w:sz w:val="20"/>
          <w:szCs w:val="20"/>
        </w:rPr>
        <w:t xml:space="preserve">il and September 2021 with an original principal amount of </w:t>
      </w:r>
      <w:r>
        <w:rPr>
          <w:sz w:val="20"/>
          <w:szCs w:val="20"/>
        </w:rPr>
        <w:t>$</w:t>
      </w:r>
      <w:r>
        <w:rPr>
          <w:sz w:val="20"/>
          <w:szCs w:val="20"/>
        </w:rPr>
        <w:t>675.</w:t>
      </w:r>
      <w:r>
        <w:rPr>
          <w:sz w:val="20"/>
          <w:szCs w:val="20"/>
        </w:rPr>
        <w:t>0</w:t>
      </w:r>
      <w:r>
        <w:rPr>
          <w:sz w:val="20"/>
          <w:szCs w:val="20"/>
        </w:rPr>
        <w:t xml:space="preserve"> million (the </w:t>
      </w:r>
      <w:r>
        <w:rPr>
          <w:sz w:val="20"/>
          <w:szCs w:val="20"/>
        </w:rPr>
        <w:t>"</w:t>
      </w:r>
      <w:r>
        <w:rPr>
          <w:sz w:val="20"/>
          <w:szCs w:val="20"/>
        </w:rPr>
        <w:t>8.2</w:t>
      </w:r>
      <w:r>
        <w:rPr>
          <w:sz w:val="20"/>
          <w:szCs w:val="20"/>
        </w:rPr>
        <w:t>5</w:t>
      </w:r>
      <w:r>
        <w:rPr>
          <w:sz w:val="20"/>
          <w:szCs w:val="20"/>
        </w:rPr>
        <w:t>% Senior Notes"), as further described hereinafter, accrues at the stated rate and is payable in April and October of each year. The</w:t>
      </w:r>
      <w:r>
        <w:rPr>
          <w:sz w:val="20"/>
          <w:szCs w:val="20"/>
        </w:rPr>
        <w:t xml:space="preserve"> </w:t>
      </w:r>
      <w:r>
        <w:rPr>
          <w:sz w:val="20"/>
          <w:szCs w:val="20"/>
        </w:rPr>
        <w:t>8.2</w:t>
      </w:r>
      <w:r>
        <w:rPr>
          <w:sz w:val="20"/>
          <w:szCs w:val="20"/>
        </w:rPr>
        <w:t>5</w:t>
      </w:r>
      <w:r>
        <w:rPr>
          <w:sz w:val="20"/>
          <w:szCs w:val="20"/>
        </w:rPr>
        <w:t>% Senior Notes are scheduled to mat</w:t>
      </w:r>
      <w:r>
        <w:rPr>
          <w:sz w:val="20"/>
          <w:szCs w:val="20"/>
        </w:rPr>
        <w:t>ure on</w:t>
      </w:r>
      <w:r>
        <w:rPr>
          <w:sz w:val="20"/>
          <w:szCs w:val="20"/>
        </w:rPr>
        <w:t xml:space="preserve"> </w:t>
      </w:r>
      <w:r>
        <w:rPr>
          <w:sz w:val="20"/>
          <w:szCs w:val="20"/>
        </w:rPr>
        <w:t>April 15, 202</w:t>
      </w:r>
      <w:r>
        <w:rPr>
          <w:sz w:val="20"/>
          <w:szCs w:val="20"/>
        </w:rPr>
        <w:t>6</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1464732807"/>
        <w:rPr>
          <w:sz w:val="20"/>
          <w:szCs w:val="20"/>
        </w:rPr>
      </w:pPr>
      <w:r>
        <w:rPr>
          <w:sz w:val="20"/>
          <w:szCs w:val="20"/>
        </w:rPr>
        <w:t>On December 22, 2022, CoreCivic delivered an irrevocable notice to the trustee of the holders of the</w:t>
      </w:r>
      <w:r>
        <w:rPr>
          <w:sz w:val="20"/>
          <w:szCs w:val="20"/>
        </w:rPr>
        <w:t xml:space="preserve"> </w:t>
      </w:r>
      <w:r>
        <w:rPr>
          <w:sz w:val="20"/>
          <w:szCs w:val="20"/>
        </w:rPr>
        <w:t>4.62</w:t>
      </w:r>
      <w:r>
        <w:rPr>
          <w:sz w:val="20"/>
          <w:szCs w:val="20"/>
        </w:rPr>
        <w:t>5</w:t>
      </w:r>
      <w:r>
        <w:rPr>
          <w:sz w:val="20"/>
          <w:szCs w:val="20"/>
        </w:rPr>
        <w:t>% Senior Notes that the Company elected to redeem in full the</w:t>
      </w:r>
      <w:r>
        <w:rPr>
          <w:sz w:val="20"/>
          <w:szCs w:val="20"/>
        </w:rPr>
        <w:t xml:space="preserve"> </w:t>
      </w:r>
      <w:r>
        <w:rPr>
          <w:sz w:val="20"/>
          <w:szCs w:val="20"/>
        </w:rPr>
        <w:t>4.62</w:t>
      </w:r>
      <w:r>
        <w:rPr>
          <w:sz w:val="20"/>
          <w:szCs w:val="20"/>
        </w:rPr>
        <w:t>5</w:t>
      </w:r>
      <w:r>
        <w:rPr>
          <w:sz w:val="20"/>
          <w:szCs w:val="20"/>
        </w:rPr>
        <w:t>% Senior Notes that remained outstanding on February 1, 202</w:t>
      </w:r>
      <w:r>
        <w:rPr>
          <w:sz w:val="20"/>
          <w:szCs w:val="20"/>
        </w:rPr>
        <w:t>3. The</w:t>
      </w:r>
      <w:r>
        <w:rPr>
          <w:sz w:val="20"/>
          <w:szCs w:val="20"/>
        </w:rPr>
        <w:t xml:space="preserve"> </w:t>
      </w:r>
      <w:r>
        <w:rPr>
          <w:sz w:val="20"/>
          <w:szCs w:val="20"/>
        </w:rPr>
        <w:t>4.62</w:t>
      </w:r>
      <w:r>
        <w:rPr>
          <w:sz w:val="20"/>
          <w:szCs w:val="20"/>
        </w:rPr>
        <w:t>5</w:t>
      </w:r>
      <w:r>
        <w:rPr>
          <w:sz w:val="20"/>
          <w:szCs w:val="20"/>
        </w:rPr>
        <w:t>% Senior Notes were redeemed on February 1, 2023 at a redemption price equal to</w:t>
      </w:r>
      <w:r>
        <w:rPr>
          <w:sz w:val="20"/>
          <w:szCs w:val="20"/>
        </w:rPr>
        <w:t xml:space="preserve"> </w:t>
      </w:r>
      <w:r>
        <w:rPr>
          <w:sz w:val="20"/>
          <w:szCs w:val="20"/>
        </w:rPr>
        <w:t>10</w:t>
      </w:r>
      <w:r>
        <w:rPr>
          <w:sz w:val="20"/>
          <w:szCs w:val="20"/>
        </w:rPr>
        <w:t>0</w:t>
      </w:r>
      <w:r>
        <w:rPr>
          <w:sz w:val="20"/>
          <w:szCs w:val="20"/>
        </w:rPr>
        <w:t>% of the principal amount of the outstanding</w:t>
      </w:r>
      <w:r>
        <w:rPr>
          <w:sz w:val="20"/>
          <w:szCs w:val="20"/>
        </w:rPr>
        <w:t xml:space="preserve"> </w:t>
      </w:r>
      <w:r>
        <w:rPr>
          <w:sz w:val="20"/>
          <w:szCs w:val="20"/>
        </w:rPr>
        <w:t>4.62</w:t>
      </w:r>
      <w:r>
        <w:rPr>
          <w:sz w:val="20"/>
          <w:szCs w:val="20"/>
        </w:rPr>
        <w:t>5</w:t>
      </w:r>
      <w:r>
        <w:rPr>
          <w:sz w:val="20"/>
          <w:szCs w:val="20"/>
        </w:rPr>
        <w:t xml:space="preserve">% Senior Notes, which amounted to </w:t>
      </w:r>
      <w:r>
        <w:rPr>
          <w:sz w:val="20"/>
          <w:szCs w:val="20"/>
        </w:rPr>
        <w:t>$</w:t>
      </w:r>
      <w:r>
        <w:rPr>
          <w:sz w:val="20"/>
          <w:szCs w:val="20"/>
        </w:rPr>
        <w:t>153.</w:t>
      </w:r>
      <w:r>
        <w:rPr>
          <w:sz w:val="20"/>
          <w:szCs w:val="20"/>
        </w:rPr>
        <w:t>8</w:t>
      </w:r>
      <w:r>
        <w:rPr>
          <w:sz w:val="20"/>
          <w:szCs w:val="20"/>
        </w:rPr>
        <w:t xml:space="preserve"> million, plus accrued and unpaid interest to, but not including, the r</w:t>
      </w:r>
      <w:r>
        <w:rPr>
          <w:sz w:val="20"/>
          <w:szCs w:val="20"/>
        </w:rPr>
        <w:t>edemption date. The Company used a combination of cash on hand and available capacity under its New Revolving Credit Facility to fund the redemption</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1464732807"/>
        <w:rPr>
          <w:sz w:val="20"/>
          <w:szCs w:val="20"/>
        </w:rPr>
      </w:pPr>
      <w:r>
        <w:rPr>
          <w:sz w:val="20"/>
          <w:szCs w:val="20"/>
        </w:rPr>
        <w:t>The</w:t>
      </w:r>
      <w:r>
        <w:rPr>
          <w:sz w:val="20"/>
          <w:szCs w:val="20"/>
        </w:rPr>
        <w:t xml:space="preserve"> </w:t>
      </w:r>
      <w:r>
        <w:rPr>
          <w:sz w:val="20"/>
          <w:szCs w:val="20"/>
        </w:rPr>
        <w:t>4.62</w:t>
      </w:r>
      <w:r>
        <w:rPr>
          <w:sz w:val="20"/>
          <w:szCs w:val="20"/>
        </w:rPr>
        <w:t>5</w:t>
      </w:r>
      <w:r>
        <w:rPr>
          <w:sz w:val="20"/>
          <w:szCs w:val="20"/>
        </w:rPr>
        <w:t>% Senior Notes (until their repayment and satisfaction on February 1, 2023), the</w:t>
      </w:r>
      <w:r>
        <w:rPr>
          <w:sz w:val="20"/>
          <w:szCs w:val="20"/>
        </w:rPr>
        <w:t xml:space="preserve"> </w:t>
      </w:r>
      <w:r>
        <w:rPr>
          <w:sz w:val="20"/>
          <w:szCs w:val="20"/>
        </w:rPr>
        <w:t>4.7</w:t>
      </w:r>
      <w:r>
        <w:rPr>
          <w:sz w:val="20"/>
          <w:szCs w:val="20"/>
        </w:rPr>
        <w:t>5</w:t>
      </w:r>
      <w:r>
        <w:rPr>
          <w:sz w:val="20"/>
          <w:szCs w:val="20"/>
        </w:rPr>
        <w:t>% Senior Notes, and the</w:t>
      </w:r>
      <w:r>
        <w:rPr>
          <w:sz w:val="20"/>
          <w:szCs w:val="20"/>
        </w:rPr>
        <w:t xml:space="preserve"> </w:t>
      </w:r>
      <w:r>
        <w:rPr>
          <w:sz w:val="20"/>
          <w:szCs w:val="20"/>
        </w:rPr>
        <w:t>8.2</w:t>
      </w:r>
      <w:r>
        <w:rPr>
          <w:sz w:val="20"/>
          <w:szCs w:val="20"/>
        </w:rPr>
        <w:t>5</w:t>
      </w:r>
      <w:r>
        <w:rPr>
          <w:sz w:val="20"/>
          <w:szCs w:val="20"/>
        </w:rPr>
        <w:t>% Senior Notes, collectively referred to herein as the "Senior Notes", are senior unsecured obligations of the Company and are guaranteed by al</w:t>
      </w:r>
      <w:r>
        <w:rPr>
          <w:sz w:val="20"/>
          <w:szCs w:val="20"/>
        </w:rPr>
        <w:t>l of the Company's existing and future subsidiaries that guarantee the New Bank Credit Facility. CoreCivic may redeem all or part of the</w:t>
      </w:r>
      <w:r>
        <w:rPr>
          <w:sz w:val="20"/>
          <w:szCs w:val="20"/>
        </w:rPr>
        <w:t xml:space="preserve"> </w:t>
      </w:r>
      <w:r>
        <w:rPr>
          <w:sz w:val="20"/>
          <w:szCs w:val="20"/>
        </w:rPr>
        <w:t>4.7</w:t>
      </w:r>
      <w:r>
        <w:rPr>
          <w:sz w:val="20"/>
          <w:szCs w:val="20"/>
        </w:rPr>
        <w:t>5</w:t>
      </w:r>
      <w:r>
        <w:rPr>
          <w:sz w:val="20"/>
          <w:szCs w:val="20"/>
        </w:rPr>
        <w:t>% Senior Notes at any time prior to three months before their maturity date at a "make-whole" redemption price, plu</w:t>
      </w:r>
      <w:r>
        <w:rPr>
          <w:sz w:val="20"/>
          <w:szCs w:val="20"/>
        </w:rPr>
        <w:t>s accrued and unpaid interest thereon to, but not including, the redemption date. Thereafter, the</w:t>
      </w:r>
      <w:r>
        <w:rPr>
          <w:sz w:val="20"/>
          <w:szCs w:val="20"/>
        </w:rPr>
        <w:t xml:space="preserve"> </w:t>
      </w:r>
      <w:r>
        <w:rPr>
          <w:sz w:val="20"/>
          <w:szCs w:val="20"/>
        </w:rPr>
        <w:t>4.7</w:t>
      </w:r>
      <w:r>
        <w:rPr>
          <w:sz w:val="20"/>
          <w:szCs w:val="20"/>
        </w:rPr>
        <w:t>5</w:t>
      </w:r>
      <w:r>
        <w:rPr>
          <w:sz w:val="20"/>
          <w:szCs w:val="20"/>
        </w:rPr>
        <w:t>% Senior Notes are redeemable at CoreCivic's option, in whole or in part, at a redemption price equal to</w:t>
      </w:r>
      <w:r>
        <w:rPr>
          <w:sz w:val="20"/>
          <w:szCs w:val="20"/>
        </w:rPr>
        <w:t xml:space="preserve"> </w:t>
      </w:r>
      <w:r>
        <w:rPr>
          <w:sz w:val="20"/>
          <w:szCs w:val="20"/>
        </w:rPr>
        <w:t>10</w:t>
      </w:r>
      <w:r>
        <w:rPr>
          <w:sz w:val="20"/>
          <w:szCs w:val="20"/>
        </w:rPr>
        <w:t>0</w:t>
      </w:r>
      <w:r>
        <w:rPr>
          <w:sz w:val="20"/>
          <w:szCs w:val="20"/>
        </w:rPr>
        <w:t>% of the aggregate principal amount of the not</w:t>
      </w:r>
      <w:r>
        <w:rPr>
          <w:sz w:val="20"/>
          <w:szCs w:val="20"/>
        </w:rPr>
        <w:t>es to be redeemed plus accrued and unpaid interest thereon to, but not including, the redemption date. The Company may redeem all or part of the</w:t>
      </w:r>
      <w:r>
        <w:rPr>
          <w:sz w:val="20"/>
          <w:szCs w:val="20"/>
        </w:rPr>
        <w:t xml:space="preserve"> </w:t>
      </w:r>
      <w:r>
        <w:rPr>
          <w:sz w:val="20"/>
          <w:szCs w:val="20"/>
        </w:rPr>
        <w:t>8.2</w:t>
      </w:r>
      <w:r>
        <w:rPr>
          <w:sz w:val="20"/>
          <w:szCs w:val="20"/>
        </w:rPr>
        <w:t>5</w:t>
      </w:r>
      <w:r>
        <w:rPr>
          <w:sz w:val="20"/>
          <w:szCs w:val="20"/>
        </w:rPr>
        <w:t>% Senior Notes at any time prior to April 15, 2024, in whole or in part, at a "make-whole" redemption price</w:t>
      </w:r>
      <w:r>
        <w:rPr>
          <w:sz w:val="20"/>
          <w:szCs w:val="20"/>
        </w:rPr>
        <w:t>, plus accrued and unpaid interest thereon to, but not including, the redemption date. Thereafter, the</w:t>
      </w:r>
      <w:r>
        <w:rPr>
          <w:sz w:val="20"/>
          <w:szCs w:val="20"/>
        </w:rPr>
        <w:t xml:space="preserve"> </w:t>
      </w:r>
      <w:r>
        <w:rPr>
          <w:sz w:val="20"/>
          <w:szCs w:val="20"/>
        </w:rPr>
        <w:t>8.2</w:t>
      </w:r>
      <w:r>
        <w:rPr>
          <w:sz w:val="20"/>
          <w:szCs w:val="20"/>
        </w:rPr>
        <w:t>5</w:t>
      </w:r>
      <w:r>
        <w:rPr>
          <w:sz w:val="20"/>
          <w:szCs w:val="20"/>
        </w:rPr>
        <w:t>% Senior Notes are redeemable at CoreCivic's option, in whole or in part, at a redemption price expressed as a percentage of the principal amount the</w:t>
      </w:r>
      <w:r>
        <w:rPr>
          <w:sz w:val="20"/>
          <w:szCs w:val="20"/>
        </w:rPr>
        <w:t>reof, which percentage is</w:t>
      </w:r>
      <w:r>
        <w:rPr>
          <w:sz w:val="20"/>
          <w:szCs w:val="20"/>
        </w:rPr>
        <w:t xml:space="preserve"> </w:t>
      </w:r>
      <w:r>
        <w:rPr>
          <w:sz w:val="20"/>
          <w:szCs w:val="20"/>
        </w:rPr>
        <w:t>104.12</w:t>
      </w:r>
      <w:r>
        <w:rPr>
          <w:sz w:val="20"/>
          <w:szCs w:val="20"/>
        </w:rPr>
        <w:t>5</w:t>
      </w:r>
      <w:r>
        <w:rPr>
          <w:sz w:val="20"/>
          <w:szCs w:val="20"/>
        </w:rPr>
        <w:t>% beginning on</w:t>
      </w:r>
      <w:r>
        <w:rPr>
          <w:sz w:val="20"/>
          <w:szCs w:val="20"/>
        </w:rPr>
        <w:t xml:space="preserve"> </w:t>
      </w:r>
      <w:r>
        <w:rPr>
          <w:sz w:val="20"/>
          <w:szCs w:val="20"/>
        </w:rPr>
        <w:t>April 15, 202</w:t>
      </w:r>
      <w:r>
        <w:rPr>
          <w:sz w:val="20"/>
          <w:szCs w:val="20"/>
        </w:rPr>
        <w:t>4</w:t>
      </w:r>
      <w:r>
        <w:rPr>
          <w:sz w:val="20"/>
          <w:szCs w:val="20"/>
        </w:rPr>
        <w:t xml:space="preserve"> and</w:t>
      </w:r>
      <w:r>
        <w:rPr>
          <w:sz w:val="20"/>
          <w:szCs w:val="20"/>
        </w:rPr>
        <w:t xml:space="preserve"> </w:t>
      </w:r>
      <w:r>
        <w:rPr>
          <w:sz w:val="20"/>
          <w:szCs w:val="20"/>
        </w:rPr>
        <w:t>10</w:t>
      </w:r>
      <w:r>
        <w:rPr>
          <w:sz w:val="20"/>
          <w:szCs w:val="20"/>
        </w:rPr>
        <w:t>0</w:t>
      </w:r>
      <w:r>
        <w:rPr>
          <w:sz w:val="20"/>
          <w:szCs w:val="20"/>
        </w:rPr>
        <w:t>% beginning on</w:t>
      </w:r>
      <w:r>
        <w:rPr>
          <w:sz w:val="20"/>
          <w:szCs w:val="20"/>
        </w:rPr>
        <w:t xml:space="preserve"> </w:t>
      </w:r>
      <w:r>
        <w:rPr>
          <w:sz w:val="20"/>
          <w:szCs w:val="20"/>
        </w:rPr>
        <w:t>April 15, 202</w:t>
      </w:r>
      <w:r>
        <w:rPr>
          <w:sz w:val="20"/>
          <w:szCs w:val="20"/>
        </w:rPr>
        <w:t>5</w:t>
      </w:r>
      <w:r>
        <w:rPr>
          <w:sz w:val="20"/>
          <w:szCs w:val="20"/>
        </w:rPr>
        <w:t>, plus, in each such case, accrued and unpaid interest thereon to, but not including, the redemption date</w:t>
      </w:r>
      <w:r>
        <w:rPr>
          <w:sz w:val="20"/>
          <w:szCs w:val="20"/>
        </w:rPr>
        <w:t>.</w:t>
      </w:r>
    </w:p>
    <w:p w:rsidR="00000000" w:rsidRDefault="006D723D">
      <w:pPr>
        <w:pStyle w:val="a3"/>
        <w:spacing w:before="0" w:beforeAutospacing="0" w:after="0" w:afterAutospacing="0"/>
        <w:jc w:val="center"/>
        <w:divId w:val="1464732807"/>
        <w:rPr>
          <w:sz w:val="20"/>
          <w:szCs w:val="20"/>
        </w:rPr>
      </w:pPr>
      <w:r>
        <w:rPr>
          <w:sz w:val="20"/>
          <w:szCs w:val="20"/>
        </w:rPr>
        <w:t>F</w:t>
      </w:r>
      <w:r>
        <w:rPr>
          <w:sz w:val="20"/>
          <w:szCs w:val="20"/>
        </w:rPr>
        <w:t>-</w:t>
      </w:r>
      <w:r>
        <w:rPr>
          <w:sz w:val="20"/>
          <w:szCs w:val="20"/>
        </w:rPr>
        <w:t>2</w:t>
      </w:r>
      <w:r>
        <w:rPr>
          <w:sz w:val="20"/>
          <w:szCs w:val="20"/>
        </w:rPr>
        <w:t>5</w:t>
      </w:r>
    </w:p>
    <w:p w:rsidR="00000000" w:rsidRDefault="006D723D">
      <w:pPr>
        <w:divId w:val="1464732807"/>
        <w:rPr>
          <w:rFonts w:eastAsia="Times New Roman"/>
          <w:sz w:val="20"/>
          <w:szCs w:val="20"/>
        </w:rPr>
      </w:pPr>
      <w:r>
        <w:rPr>
          <w:rFonts w:eastAsia="Times New Roman"/>
          <w:sz w:val="20"/>
          <w:szCs w:val="20"/>
        </w:rPr>
        <w:pict>
          <v:rect id="_x0000_i1153" style="width:0;height:1.5pt" o:hralign="center" o:hrstd="t" o:hr="t" fillcolor="#a0a0a0" stroked="f"/>
        </w:pict>
      </w:r>
    </w:p>
    <w:p w:rsidR="00000000" w:rsidRDefault="006D723D">
      <w:pPr>
        <w:pStyle w:val="a3"/>
        <w:spacing w:before="0" w:beforeAutospacing="0" w:after="0" w:afterAutospacing="0"/>
        <w:divId w:val="1464732807"/>
        <w:rPr>
          <w:sz w:val="20"/>
          <w:szCs w:val="20"/>
        </w:rPr>
      </w:pPr>
      <w:r>
        <w:rPr>
          <w:sz w:val="20"/>
          <w:szCs w:val="20"/>
        </w:rPr>
        <w:t> </w:t>
      </w:r>
    </w:p>
    <w:p w:rsidR="00000000" w:rsidRDefault="006D723D">
      <w:pPr>
        <w:pStyle w:val="a3"/>
        <w:spacing w:before="240" w:beforeAutospacing="0" w:after="0" w:afterAutospacing="0"/>
        <w:ind w:left="476"/>
        <w:jc w:val="both"/>
        <w:divId w:val="1464732807"/>
        <w:rPr>
          <w:sz w:val="20"/>
          <w:szCs w:val="20"/>
        </w:rPr>
      </w:pPr>
      <w:r>
        <w:rPr>
          <w:sz w:val="20"/>
          <w:szCs w:val="20"/>
        </w:rPr>
        <w:t>On Apr</w:t>
      </w:r>
      <w:r>
        <w:rPr>
          <w:sz w:val="20"/>
          <w:szCs w:val="20"/>
        </w:rPr>
        <w:t xml:space="preserve">il 14, 2021, the Company completed an underwritten registered offering of </w:t>
      </w:r>
      <w:r>
        <w:rPr>
          <w:sz w:val="20"/>
          <w:szCs w:val="20"/>
        </w:rPr>
        <w:t>$</w:t>
      </w:r>
      <w:r>
        <w:rPr>
          <w:sz w:val="20"/>
          <w:szCs w:val="20"/>
        </w:rPr>
        <w:t>450.</w:t>
      </w:r>
      <w:r>
        <w:rPr>
          <w:sz w:val="20"/>
          <w:szCs w:val="20"/>
        </w:rPr>
        <w:t>0</w:t>
      </w:r>
      <w:r>
        <w:rPr>
          <w:sz w:val="20"/>
          <w:szCs w:val="20"/>
        </w:rPr>
        <w:t xml:space="preserve"> million aggregate principal amount of</w:t>
      </w:r>
      <w:r>
        <w:rPr>
          <w:sz w:val="20"/>
          <w:szCs w:val="20"/>
        </w:rPr>
        <w:t xml:space="preserve"> </w:t>
      </w:r>
      <w:r>
        <w:rPr>
          <w:sz w:val="20"/>
          <w:szCs w:val="20"/>
        </w:rPr>
        <w:t>8.2</w:t>
      </w:r>
      <w:r>
        <w:rPr>
          <w:sz w:val="20"/>
          <w:szCs w:val="20"/>
        </w:rPr>
        <w:t>5</w:t>
      </w:r>
      <w:r>
        <w:rPr>
          <w:sz w:val="20"/>
          <w:szCs w:val="20"/>
        </w:rPr>
        <w:t>% senior unsecured notes due 2026 (the "Original</w:t>
      </w:r>
      <w:r>
        <w:rPr>
          <w:sz w:val="20"/>
          <w:szCs w:val="20"/>
        </w:rPr>
        <w:t xml:space="preserve"> </w:t>
      </w:r>
      <w:r>
        <w:rPr>
          <w:sz w:val="20"/>
          <w:szCs w:val="20"/>
        </w:rPr>
        <w:t>8.2</w:t>
      </w:r>
      <w:r>
        <w:rPr>
          <w:sz w:val="20"/>
          <w:szCs w:val="20"/>
        </w:rPr>
        <w:t>5</w:t>
      </w:r>
      <w:r>
        <w:rPr>
          <w:sz w:val="20"/>
          <w:szCs w:val="20"/>
        </w:rPr>
        <w:t>% Senior Notes"). The Original</w:t>
      </w:r>
      <w:r>
        <w:rPr>
          <w:sz w:val="20"/>
          <w:szCs w:val="20"/>
        </w:rPr>
        <w:t xml:space="preserve"> </w:t>
      </w:r>
      <w:r>
        <w:rPr>
          <w:sz w:val="20"/>
          <w:szCs w:val="20"/>
        </w:rPr>
        <w:t>8.2</w:t>
      </w:r>
      <w:r>
        <w:rPr>
          <w:sz w:val="20"/>
          <w:szCs w:val="20"/>
        </w:rPr>
        <w:t>5</w:t>
      </w:r>
      <w:r>
        <w:rPr>
          <w:sz w:val="20"/>
          <w:szCs w:val="20"/>
        </w:rPr>
        <w:t>% Senior Notes were priced at</w:t>
      </w:r>
      <w:r>
        <w:rPr>
          <w:sz w:val="20"/>
          <w:szCs w:val="20"/>
        </w:rPr>
        <w:t xml:space="preserve"> </w:t>
      </w:r>
      <w:r>
        <w:rPr>
          <w:sz w:val="20"/>
          <w:szCs w:val="20"/>
        </w:rPr>
        <w:t>99.</w:t>
      </w:r>
      <w:r>
        <w:rPr>
          <w:sz w:val="20"/>
          <w:szCs w:val="20"/>
        </w:rPr>
        <w:t>0</w:t>
      </w:r>
      <w:r>
        <w:rPr>
          <w:sz w:val="20"/>
          <w:szCs w:val="20"/>
        </w:rPr>
        <w:t>% of face v</w:t>
      </w:r>
      <w:r>
        <w:rPr>
          <w:sz w:val="20"/>
          <w:szCs w:val="20"/>
        </w:rPr>
        <w:t>alue and as a result have an effective yield to maturity of</w:t>
      </w:r>
      <w:r>
        <w:rPr>
          <w:sz w:val="20"/>
          <w:szCs w:val="20"/>
        </w:rPr>
        <w:t xml:space="preserve"> </w:t>
      </w:r>
      <w:r>
        <w:rPr>
          <w:sz w:val="20"/>
          <w:szCs w:val="20"/>
        </w:rPr>
        <w:t>8.5</w:t>
      </w:r>
      <w:r>
        <w:rPr>
          <w:sz w:val="20"/>
          <w:szCs w:val="20"/>
        </w:rPr>
        <w:t>0</w:t>
      </w:r>
      <w:r>
        <w:rPr>
          <w:sz w:val="20"/>
          <w:szCs w:val="20"/>
        </w:rPr>
        <w:t>%. The net proceeds from the issuance of the Original</w:t>
      </w:r>
      <w:r>
        <w:rPr>
          <w:sz w:val="20"/>
          <w:szCs w:val="20"/>
        </w:rPr>
        <w:t xml:space="preserve"> </w:t>
      </w:r>
      <w:r>
        <w:rPr>
          <w:sz w:val="20"/>
          <w:szCs w:val="20"/>
        </w:rPr>
        <w:t>8.2</w:t>
      </w:r>
      <w:r>
        <w:rPr>
          <w:sz w:val="20"/>
          <w:szCs w:val="20"/>
        </w:rPr>
        <w:t>5</w:t>
      </w:r>
      <w:r>
        <w:rPr>
          <w:sz w:val="20"/>
          <w:szCs w:val="20"/>
        </w:rPr>
        <w:t xml:space="preserve">% Senior Notes totaled approximately </w:t>
      </w:r>
      <w:r>
        <w:rPr>
          <w:sz w:val="20"/>
          <w:szCs w:val="20"/>
        </w:rPr>
        <w:t>$</w:t>
      </w:r>
      <w:r>
        <w:rPr>
          <w:sz w:val="20"/>
          <w:szCs w:val="20"/>
        </w:rPr>
        <w:t>435.</w:t>
      </w:r>
      <w:r>
        <w:rPr>
          <w:sz w:val="20"/>
          <w:szCs w:val="20"/>
        </w:rPr>
        <w:t>1</w:t>
      </w:r>
      <w:r>
        <w:rPr>
          <w:sz w:val="20"/>
          <w:szCs w:val="20"/>
        </w:rPr>
        <w:t xml:space="preserve"> million, after deducting the original issuance and underwriting discounts and estimated of</w:t>
      </w:r>
      <w:r>
        <w:rPr>
          <w:sz w:val="20"/>
          <w:szCs w:val="20"/>
        </w:rPr>
        <w:t>fering expenses. The Company used a significant amount of the net proceeds from the offering of the Original</w:t>
      </w:r>
      <w:r>
        <w:rPr>
          <w:sz w:val="20"/>
          <w:szCs w:val="20"/>
        </w:rPr>
        <w:t xml:space="preserve"> </w:t>
      </w:r>
      <w:r>
        <w:rPr>
          <w:sz w:val="20"/>
          <w:szCs w:val="20"/>
        </w:rPr>
        <w:t>8.2</w:t>
      </w:r>
      <w:r>
        <w:rPr>
          <w:sz w:val="20"/>
          <w:szCs w:val="20"/>
        </w:rPr>
        <w:t>5</w:t>
      </w:r>
      <w:r>
        <w:rPr>
          <w:sz w:val="20"/>
          <w:szCs w:val="20"/>
        </w:rPr>
        <w:t xml:space="preserve">% Senior Notes (i) to redeem all of the </w:t>
      </w:r>
      <w:r>
        <w:rPr>
          <w:sz w:val="20"/>
          <w:szCs w:val="20"/>
        </w:rPr>
        <w:t>$</w:t>
      </w:r>
      <w:r>
        <w:rPr>
          <w:sz w:val="20"/>
          <w:szCs w:val="20"/>
        </w:rPr>
        <w:t>250.</w:t>
      </w:r>
      <w:r>
        <w:rPr>
          <w:sz w:val="20"/>
          <w:szCs w:val="20"/>
        </w:rPr>
        <w:t>0</w:t>
      </w:r>
      <w:r>
        <w:rPr>
          <w:sz w:val="20"/>
          <w:szCs w:val="20"/>
        </w:rPr>
        <w:t xml:space="preserve"> million aggregate principal amount of CoreCivic's</w:t>
      </w:r>
      <w:r>
        <w:rPr>
          <w:sz w:val="20"/>
          <w:szCs w:val="20"/>
        </w:rPr>
        <w:t xml:space="preserve"> </w:t>
      </w:r>
      <w:r>
        <w:rPr>
          <w:sz w:val="20"/>
          <w:szCs w:val="20"/>
        </w:rPr>
        <w:t>5.</w:t>
      </w:r>
      <w:r>
        <w:rPr>
          <w:sz w:val="20"/>
          <w:szCs w:val="20"/>
        </w:rPr>
        <w:t>0</w:t>
      </w:r>
      <w:r>
        <w:rPr>
          <w:sz w:val="20"/>
          <w:szCs w:val="20"/>
        </w:rPr>
        <w:t>% senior notes issued in September 2015 (th</w:t>
      </w:r>
      <w:r>
        <w:rPr>
          <w:sz w:val="20"/>
          <w:szCs w:val="20"/>
        </w:rPr>
        <w:t xml:space="preserve">e </w:t>
      </w:r>
      <w:r>
        <w:rPr>
          <w:sz w:val="20"/>
          <w:szCs w:val="20"/>
        </w:rPr>
        <w:t>"</w:t>
      </w:r>
      <w:r>
        <w:rPr>
          <w:sz w:val="20"/>
          <w:szCs w:val="20"/>
        </w:rPr>
        <w:t>5.</w:t>
      </w:r>
      <w:r>
        <w:rPr>
          <w:sz w:val="20"/>
          <w:szCs w:val="20"/>
        </w:rPr>
        <w:t>0</w:t>
      </w:r>
      <w:r>
        <w:rPr>
          <w:sz w:val="20"/>
          <w:szCs w:val="20"/>
        </w:rPr>
        <w:t xml:space="preserve">% Senior Notes"), including the payment of the applicable "make-whole" redemption amount of </w:t>
      </w:r>
      <w:r>
        <w:rPr>
          <w:sz w:val="20"/>
          <w:szCs w:val="20"/>
        </w:rPr>
        <w:t>$</w:t>
      </w:r>
      <w:r>
        <w:rPr>
          <w:sz w:val="20"/>
          <w:szCs w:val="20"/>
        </w:rPr>
        <w:t>15.</w:t>
      </w:r>
      <w:r>
        <w:rPr>
          <w:sz w:val="20"/>
          <w:szCs w:val="20"/>
        </w:rPr>
        <w:t>5</w:t>
      </w:r>
      <w:r>
        <w:rPr>
          <w:sz w:val="20"/>
          <w:szCs w:val="20"/>
        </w:rPr>
        <w:t xml:space="preserve"> million and accrued interest, and (ii) to otherwise repay or reduce its other indebtedness, including repurchasing </w:t>
      </w:r>
      <w:r>
        <w:rPr>
          <w:sz w:val="20"/>
          <w:szCs w:val="20"/>
        </w:rPr>
        <w:t>$</w:t>
      </w:r>
      <w:r>
        <w:rPr>
          <w:sz w:val="20"/>
          <w:szCs w:val="20"/>
        </w:rPr>
        <w:t>149.</w:t>
      </w:r>
      <w:r>
        <w:rPr>
          <w:sz w:val="20"/>
          <w:szCs w:val="20"/>
        </w:rPr>
        <w:t>0</w:t>
      </w:r>
      <w:r>
        <w:rPr>
          <w:sz w:val="20"/>
          <w:szCs w:val="20"/>
        </w:rPr>
        <w:t xml:space="preserve"> million of its</w:t>
      </w:r>
      <w:r>
        <w:rPr>
          <w:sz w:val="20"/>
          <w:szCs w:val="20"/>
        </w:rPr>
        <w:t xml:space="preserve"> </w:t>
      </w:r>
      <w:r>
        <w:rPr>
          <w:sz w:val="20"/>
          <w:szCs w:val="20"/>
        </w:rPr>
        <w:t>4.62</w:t>
      </w:r>
      <w:r>
        <w:rPr>
          <w:sz w:val="20"/>
          <w:szCs w:val="20"/>
        </w:rPr>
        <w:t>5</w:t>
      </w:r>
      <w:r>
        <w:rPr>
          <w:sz w:val="20"/>
          <w:szCs w:val="20"/>
        </w:rPr>
        <w:t>% Senior N</w:t>
      </w:r>
      <w:r>
        <w:rPr>
          <w:sz w:val="20"/>
          <w:szCs w:val="20"/>
        </w:rPr>
        <w:t xml:space="preserve">otes at an aggregate purchase price of </w:t>
      </w:r>
      <w:r>
        <w:rPr>
          <w:sz w:val="20"/>
          <w:szCs w:val="20"/>
        </w:rPr>
        <w:t>$</w:t>
      </w:r>
      <w:r>
        <w:rPr>
          <w:sz w:val="20"/>
          <w:szCs w:val="20"/>
        </w:rPr>
        <w:t>151.</w:t>
      </w:r>
      <w:r>
        <w:rPr>
          <w:sz w:val="20"/>
          <w:szCs w:val="20"/>
        </w:rPr>
        <w:t>2</w:t>
      </w:r>
      <w:r>
        <w:rPr>
          <w:sz w:val="20"/>
          <w:szCs w:val="20"/>
        </w:rPr>
        <w:t xml:space="preserve"> million in privately negotiated transactions, reducing the outstanding balance of the</w:t>
      </w:r>
      <w:r>
        <w:rPr>
          <w:sz w:val="20"/>
          <w:szCs w:val="20"/>
        </w:rPr>
        <w:t xml:space="preserve"> </w:t>
      </w:r>
      <w:r>
        <w:rPr>
          <w:sz w:val="20"/>
          <w:szCs w:val="20"/>
        </w:rPr>
        <w:t>4.62</w:t>
      </w:r>
      <w:r>
        <w:rPr>
          <w:sz w:val="20"/>
          <w:szCs w:val="20"/>
        </w:rPr>
        <w:t>5</w:t>
      </w:r>
      <w:r>
        <w:rPr>
          <w:sz w:val="20"/>
          <w:szCs w:val="20"/>
        </w:rPr>
        <w:t xml:space="preserve">% Senior Notes, which was originally </w:t>
      </w:r>
      <w:r>
        <w:rPr>
          <w:sz w:val="20"/>
          <w:szCs w:val="20"/>
        </w:rPr>
        <w:t>$</w:t>
      </w:r>
      <w:r>
        <w:rPr>
          <w:sz w:val="20"/>
          <w:szCs w:val="20"/>
        </w:rPr>
        <w:t>350.</w:t>
      </w:r>
      <w:r>
        <w:rPr>
          <w:sz w:val="20"/>
          <w:szCs w:val="20"/>
        </w:rPr>
        <w:t>0</w:t>
      </w:r>
      <w:r>
        <w:rPr>
          <w:sz w:val="20"/>
          <w:szCs w:val="20"/>
        </w:rPr>
        <w:t xml:space="preserve"> million, to </w:t>
      </w:r>
      <w:r>
        <w:rPr>
          <w:sz w:val="20"/>
          <w:szCs w:val="20"/>
        </w:rPr>
        <w:t>$</w:t>
      </w:r>
      <w:r>
        <w:rPr>
          <w:sz w:val="20"/>
          <w:szCs w:val="20"/>
        </w:rPr>
        <w:t>201.</w:t>
      </w:r>
      <w:r>
        <w:rPr>
          <w:sz w:val="20"/>
          <w:szCs w:val="20"/>
        </w:rPr>
        <w:t>0</w:t>
      </w:r>
      <w:r>
        <w:rPr>
          <w:sz w:val="20"/>
          <w:szCs w:val="20"/>
        </w:rPr>
        <w:t xml:space="preserve"> million. The "make-whole" redemption amount paid in conn</w:t>
      </w:r>
      <w:r>
        <w:rPr>
          <w:sz w:val="20"/>
          <w:szCs w:val="20"/>
        </w:rPr>
        <w:t>ection with the redemption of the</w:t>
      </w:r>
      <w:r>
        <w:rPr>
          <w:sz w:val="20"/>
          <w:szCs w:val="20"/>
        </w:rPr>
        <w:t xml:space="preserve"> </w:t>
      </w:r>
      <w:r>
        <w:rPr>
          <w:sz w:val="20"/>
          <w:szCs w:val="20"/>
        </w:rPr>
        <w:t>5.</w:t>
      </w:r>
      <w:r>
        <w:rPr>
          <w:sz w:val="20"/>
          <w:szCs w:val="20"/>
        </w:rPr>
        <w:t>0</w:t>
      </w:r>
      <w:r>
        <w:rPr>
          <w:sz w:val="20"/>
          <w:szCs w:val="20"/>
        </w:rPr>
        <w:t>% Senior Notes, originally scheduled to mature on</w:t>
      </w:r>
      <w:r>
        <w:rPr>
          <w:sz w:val="20"/>
          <w:szCs w:val="20"/>
        </w:rPr>
        <w:t xml:space="preserve"> </w:t>
      </w:r>
      <w:r>
        <w:rPr>
          <w:sz w:val="20"/>
          <w:szCs w:val="20"/>
        </w:rPr>
        <w:t>October 15, 202</w:t>
      </w:r>
      <w:r>
        <w:rPr>
          <w:sz w:val="20"/>
          <w:szCs w:val="20"/>
        </w:rPr>
        <w:t>2</w:t>
      </w:r>
      <w:r>
        <w:rPr>
          <w:sz w:val="20"/>
          <w:szCs w:val="20"/>
        </w:rPr>
        <w:t>, and the aggregate price paid for the</w:t>
      </w:r>
      <w:r>
        <w:rPr>
          <w:sz w:val="20"/>
          <w:szCs w:val="20"/>
        </w:rPr>
        <w:t xml:space="preserve"> </w:t>
      </w:r>
      <w:r>
        <w:rPr>
          <w:sz w:val="20"/>
          <w:szCs w:val="20"/>
        </w:rPr>
        <w:t>4.62</w:t>
      </w:r>
      <w:r>
        <w:rPr>
          <w:sz w:val="20"/>
          <w:szCs w:val="20"/>
        </w:rPr>
        <w:t>5</w:t>
      </w:r>
      <w:r>
        <w:rPr>
          <w:sz w:val="20"/>
          <w:szCs w:val="20"/>
        </w:rPr>
        <w:t xml:space="preserve">% Senior Notes in excess of the principal amount of the notes repurchased resulted in charges of </w:t>
      </w:r>
      <w:r>
        <w:rPr>
          <w:sz w:val="20"/>
          <w:szCs w:val="20"/>
        </w:rPr>
        <w:t>$</w:t>
      </w:r>
      <w:r>
        <w:rPr>
          <w:sz w:val="20"/>
          <w:szCs w:val="20"/>
        </w:rPr>
        <w:t>19.</w:t>
      </w:r>
      <w:r>
        <w:rPr>
          <w:sz w:val="20"/>
          <w:szCs w:val="20"/>
        </w:rPr>
        <w:t>2</w:t>
      </w:r>
      <w:r>
        <w:rPr>
          <w:sz w:val="20"/>
          <w:szCs w:val="20"/>
        </w:rPr>
        <w:t xml:space="preserve"> millio</w:t>
      </w:r>
      <w:r>
        <w:rPr>
          <w:sz w:val="20"/>
          <w:szCs w:val="20"/>
        </w:rPr>
        <w:t>n during the second quarter of 2021, including costs associated with the repurchases and the proportionate write-off of existing debt issuance costs. The remaining net proceeds were used to pay down a portion of the amounts outstanding under the Previous B</w:t>
      </w:r>
      <w:r>
        <w:rPr>
          <w:sz w:val="20"/>
          <w:szCs w:val="20"/>
        </w:rPr>
        <w:t>ank Credit Facility and for general corporate purposes</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1464732807"/>
        <w:rPr>
          <w:sz w:val="20"/>
          <w:szCs w:val="20"/>
        </w:rPr>
      </w:pPr>
      <w:r>
        <w:rPr>
          <w:sz w:val="20"/>
          <w:szCs w:val="20"/>
        </w:rPr>
        <w:t>Following the April issuance of the Original</w:t>
      </w:r>
      <w:r>
        <w:rPr>
          <w:sz w:val="20"/>
          <w:szCs w:val="20"/>
        </w:rPr>
        <w:t xml:space="preserve"> </w:t>
      </w:r>
      <w:r>
        <w:rPr>
          <w:sz w:val="20"/>
          <w:szCs w:val="20"/>
        </w:rPr>
        <w:t>8.2</w:t>
      </w:r>
      <w:r>
        <w:rPr>
          <w:sz w:val="20"/>
          <w:szCs w:val="20"/>
        </w:rPr>
        <w:t>5</w:t>
      </w:r>
      <w:r>
        <w:rPr>
          <w:sz w:val="20"/>
          <w:szCs w:val="20"/>
        </w:rPr>
        <w:t xml:space="preserve">% Senior Notes, during the balance of 2021, the Company purchased an additional </w:t>
      </w:r>
      <w:r>
        <w:rPr>
          <w:sz w:val="20"/>
          <w:szCs w:val="20"/>
        </w:rPr>
        <w:t>$</w:t>
      </w:r>
      <w:r>
        <w:rPr>
          <w:sz w:val="20"/>
          <w:szCs w:val="20"/>
        </w:rPr>
        <w:t>27.</w:t>
      </w:r>
      <w:r>
        <w:rPr>
          <w:sz w:val="20"/>
          <w:szCs w:val="20"/>
        </w:rPr>
        <w:t>3</w:t>
      </w:r>
      <w:r>
        <w:rPr>
          <w:sz w:val="20"/>
          <w:szCs w:val="20"/>
        </w:rPr>
        <w:t xml:space="preserve"> million of its</w:t>
      </w:r>
      <w:r>
        <w:rPr>
          <w:sz w:val="20"/>
          <w:szCs w:val="20"/>
        </w:rPr>
        <w:t xml:space="preserve"> </w:t>
      </w:r>
      <w:r>
        <w:rPr>
          <w:sz w:val="20"/>
          <w:szCs w:val="20"/>
        </w:rPr>
        <w:t>4.62</w:t>
      </w:r>
      <w:r>
        <w:rPr>
          <w:sz w:val="20"/>
          <w:szCs w:val="20"/>
        </w:rPr>
        <w:t>5</w:t>
      </w:r>
      <w:r>
        <w:rPr>
          <w:sz w:val="20"/>
          <w:szCs w:val="20"/>
        </w:rPr>
        <w:t xml:space="preserve">% Senior Notes, in the aggregate, at par in </w:t>
      </w:r>
      <w:r>
        <w:rPr>
          <w:sz w:val="20"/>
          <w:szCs w:val="20"/>
        </w:rPr>
        <w:t>open market purchases, further reducing the outstanding balance of the</w:t>
      </w:r>
      <w:r>
        <w:rPr>
          <w:sz w:val="20"/>
          <w:szCs w:val="20"/>
        </w:rPr>
        <w:t xml:space="preserve"> </w:t>
      </w:r>
      <w:r>
        <w:rPr>
          <w:sz w:val="20"/>
          <w:szCs w:val="20"/>
        </w:rPr>
        <w:t>4.62</w:t>
      </w:r>
      <w:r>
        <w:rPr>
          <w:sz w:val="20"/>
          <w:szCs w:val="20"/>
        </w:rPr>
        <w:t>5</w:t>
      </w:r>
      <w:r>
        <w:rPr>
          <w:sz w:val="20"/>
          <w:szCs w:val="20"/>
        </w:rPr>
        <w:t xml:space="preserve">% Senior Notes to </w:t>
      </w:r>
      <w:r>
        <w:rPr>
          <w:sz w:val="20"/>
          <w:szCs w:val="20"/>
        </w:rPr>
        <w:t>$</w:t>
      </w:r>
      <w:r>
        <w:rPr>
          <w:sz w:val="20"/>
          <w:szCs w:val="20"/>
        </w:rPr>
        <w:t>173.</w:t>
      </w:r>
      <w:r>
        <w:rPr>
          <w:sz w:val="20"/>
          <w:szCs w:val="20"/>
        </w:rPr>
        <w:t>7</w:t>
      </w:r>
      <w:r>
        <w:rPr>
          <w:sz w:val="20"/>
          <w:szCs w:val="20"/>
        </w:rPr>
        <w:t xml:space="preserve"> million. In addition, during 2022, the Company purchased an additional </w:t>
      </w:r>
      <w:r>
        <w:rPr>
          <w:sz w:val="20"/>
          <w:szCs w:val="20"/>
        </w:rPr>
        <w:t>$</w:t>
      </w:r>
      <w:r>
        <w:rPr>
          <w:sz w:val="20"/>
          <w:szCs w:val="20"/>
        </w:rPr>
        <w:t>19.</w:t>
      </w:r>
      <w:r>
        <w:rPr>
          <w:sz w:val="20"/>
          <w:szCs w:val="20"/>
        </w:rPr>
        <w:t>9</w:t>
      </w:r>
      <w:r>
        <w:rPr>
          <w:sz w:val="20"/>
          <w:szCs w:val="20"/>
        </w:rPr>
        <w:t xml:space="preserve"> million of the</w:t>
      </w:r>
      <w:r>
        <w:rPr>
          <w:sz w:val="20"/>
          <w:szCs w:val="20"/>
        </w:rPr>
        <w:t xml:space="preserve"> </w:t>
      </w:r>
      <w:r>
        <w:rPr>
          <w:sz w:val="20"/>
          <w:szCs w:val="20"/>
        </w:rPr>
        <w:t>4.62</w:t>
      </w:r>
      <w:r>
        <w:rPr>
          <w:sz w:val="20"/>
          <w:szCs w:val="20"/>
        </w:rPr>
        <w:t>5</w:t>
      </w:r>
      <w:r>
        <w:rPr>
          <w:sz w:val="20"/>
          <w:szCs w:val="20"/>
        </w:rPr>
        <w:t>% Senior Notes at a weighted average purchase price approx</w:t>
      </w:r>
      <w:r>
        <w:rPr>
          <w:sz w:val="20"/>
          <w:szCs w:val="20"/>
        </w:rPr>
        <w:t>imately equal to par in open market purchases, reducing the outstanding balance of the</w:t>
      </w:r>
      <w:r>
        <w:rPr>
          <w:sz w:val="20"/>
          <w:szCs w:val="20"/>
        </w:rPr>
        <w:t xml:space="preserve"> </w:t>
      </w:r>
      <w:r>
        <w:rPr>
          <w:sz w:val="20"/>
          <w:szCs w:val="20"/>
        </w:rPr>
        <w:t>4.62</w:t>
      </w:r>
      <w:r>
        <w:rPr>
          <w:sz w:val="20"/>
          <w:szCs w:val="20"/>
        </w:rPr>
        <w:t>5</w:t>
      </w:r>
      <w:r>
        <w:rPr>
          <w:sz w:val="20"/>
          <w:szCs w:val="20"/>
        </w:rPr>
        <w:t>% Senior Notes to</w:t>
      </w:r>
      <w:r>
        <w:rPr>
          <w:sz w:val="20"/>
          <w:szCs w:val="20"/>
        </w:rPr>
        <w:t xml:space="preserve"> </w:t>
      </w:r>
      <w:r>
        <w:rPr>
          <w:sz w:val="20"/>
          <w:szCs w:val="20"/>
        </w:rPr>
        <w:t>$</w:t>
      </w:r>
      <w:r>
        <w:rPr>
          <w:sz w:val="20"/>
          <w:szCs w:val="20"/>
        </w:rPr>
        <w:t>153.</w:t>
      </w:r>
      <w:r>
        <w:rPr>
          <w:sz w:val="20"/>
          <w:szCs w:val="20"/>
        </w:rPr>
        <w:t>8</w:t>
      </w:r>
      <w:r>
        <w:rPr>
          <w:sz w:val="20"/>
          <w:szCs w:val="20"/>
        </w:rPr>
        <w:t xml:space="preserve"> millio</w:t>
      </w:r>
      <w:r>
        <w:rPr>
          <w:sz w:val="20"/>
          <w:szCs w:val="20"/>
        </w:rPr>
        <w:t>n</w:t>
      </w:r>
      <w:r>
        <w:rPr>
          <w:sz w:val="20"/>
          <w:szCs w:val="20"/>
        </w:rPr>
        <w:t xml:space="preserve"> as of December 31, 2022.</w:t>
      </w:r>
      <w:r>
        <w:rPr>
          <w:sz w:val="20"/>
          <w:szCs w:val="20"/>
        </w:rPr>
        <w:t xml:space="preserve"> </w:t>
      </w:r>
      <w:r>
        <w:rPr>
          <w:sz w:val="20"/>
          <w:szCs w:val="20"/>
        </w:rPr>
        <w:t xml:space="preserve">CoreCivic recorded a total charge of </w:t>
      </w:r>
      <w:r>
        <w:rPr>
          <w:sz w:val="20"/>
          <w:szCs w:val="20"/>
        </w:rPr>
        <w:t>$</w:t>
      </w:r>
      <w:r>
        <w:rPr>
          <w:sz w:val="20"/>
          <w:szCs w:val="20"/>
        </w:rPr>
        <w:t>0.</w:t>
      </w:r>
      <w:r>
        <w:rPr>
          <w:sz w:val="20"/>
          <w:szCs w:val="20"/>
        </w:rPr>
        <w:t>1</w:t>
      </w:r>
      <w:r>
        <w:rPr>
          <w:sz w:val="20"/>
          <w:szCs w:val="20"/>
        </w:rPr>
        <w:t xml:space="preserve"> million during 2022 for the write-off of a pro-rata portion of t</w:t>
      </w:r>
      <w:r>
        <w:rPr>
          <w:sz w:val="20"/>
          <w:szCs w:val="20"/>
        </w:rPr>
        <w:t>he pre-existing loan costs associated with the open market purchases of the</w:t>
      </w:r>
      <w:r>
        <w:rPr>
          <w:sz w:val="20"/>
          <w:szCs w:val="20"/>
        </w:rPr>
        <w:t xml:space="preserve"> </w:t>
      </w:r>
      <w:r>
        <w:rPr>
          <w:sz w:val="20"/>
          <w:szCs w:val="20"/>
        </w:rPr>
        <w:t>4.62</w:t>
      </w:r>
      <w:r>
        <w:rPr>
          <w:sz w:val="20"/>
          <w:szCs w:val="20"/>
        </w:rPr>
        <w:t>5</w:t>
      </w:r>
      <w:r>
        <w:rPr>
          <w:sz w:val="20"/>
          <w:szCs w:val="20"/>
        </w:rPr>
        <w:t>% Senior Notes, net of discounts to the principal balance of notes purchase</w:t>
      </w:r>
      <w:r>
        <w:rPr>
          <w:sz w:val="20"/>
          <w:szCs w:val="20"/>
        </w:rPr>
        <w:t>d</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1464732807"/>
        <w:rPr>
          <w:sz w:val="20"/>
          <w:szCs w:val="20"/>
        </w:rPr>
      </w:pPr>
      <w:r>
        <w:rPr>
          <w:sz w:val="20"/>
          <w:szCs w:val="20"/>
        </w:rPr>
        <w:t xml:space="preserve">On September 29, 2021, CoreCivic completed an underwritten registered tack-on offering of </w:t>
      </w:r>
      <w:r>
        <w:rPr>
          <w:sz w:val="20"/>
          <w:szCs w:val="20"/>
        </w:rPr>
        <w:t>$</w:t>
      </w:r>
      <w:r>
        <w:rPr>
          <w:sz w:val="20"/>
          <w:szCs w:val="20"/>
        </w:rPr>
        <w:t>225.</w:t>
      </w:r>
      <w:r>
        <w:rPr>
          <w:sz w:val="20"/>
          <w:szCs w:val="20"/>
        </w:rPr>
        <w:t>0</w:t>
      </w:r>
      <w:r>
        <w:rPr>
          <w:sz w:val="20"/>
          <w:szCs w:val="20"/>
        </w:rPr>
        <w:t xml:space="preserve"> million in aggregate principal amount of</w:t>
      </w:r>
      <w:r>
        <w:rPr>
          <w:sz w:val="20"/>
          <w:szCs w:val="20"/>
        </w:rPr>
        <w:t xml:space="preserve"> </w:t>
      </w:r>
      <w:r>
        <w:rPr>
          <w:sz w:val="20"/>
          <w:szCs w:val="20"/>
        </w:rPr>
        <w:t>8.2</w:t>
      </w:r>
      <w:r>
        <w:rPr>
          <w:sz w:val="20"/>
          <w:szCs w:val="20"/>
        </w:rPr>
        <w:t>5</w:t>
      </w:r>
      <w:r>
        <w:rPr>
          <w:sz w:val="20"/>
          <w:szCs w:val="20"/>
        </w:rPr>
        <w:t>% Senior Notes due 2026 (the "Additional</w:t>
      </w:r>
      <w:r>
        <w:rPr>
          <w:sz w:val="20"/>
          <w:szCs w:val="20"/>
        </w:rPr>
        <w:t xml:space="preserve"> </w:t>
      </w:r>
      <w:r>
        <w:rPr>
          <w:sz w:val="20"/>
          <w:szCs w:val="20"/>
        </w:rPr>
        <w:t>8.2</w:t>
      </w:r>
      <w:r>
        <w:rPr>
          <w:sz w:val="20"/>
          <w:szCs w:val="20"/>
        </w:rPr>
        <w:t>5</w:t>
      </w:r>
      <w:r>
        <w:rPr>
          <w:sz w:val="20"/>
          <w:szCs w:val="20"/>
        </w:rPr>
        <w:t>% Senior Notes") at an issue price of</w:t>
      </w:r>
      <w:r>
        <w:rPr>
          <w:sz w:val="20"/>
          <w:szCs w:val="20"/>
        </w:rPr>
        <w:t xml:space="preserve"> </w:t>
      </w:r>
      <w:r>
        <w:rPr>
          <w:sz w:val="20"/>
          <w:szCs w:val="20"/>
        </w:rPr>
        <w:t>102.2</w:t>
      </w:r>
      <w:r>
        <w:rPr>
          <w:sz w:val="20"/>
          <w:szCs w:val="20"/>
        </w:rPr>
        <w:t>5</w:t>
      </w:r>
      <w:r>
        <w:rPr>
          <w:sz w:val="20"/>
          <w:szCs w:val="20"/>
        </w:rPr>
        <w:t>% of their aggregate principal amount, plus accrued interest from the April 14, 2021 issue date for the Original</w:t>
      </w:r>
      <w:r>
        <w:rPr>
          <w:sz w:val="20"/>
          <w:szCs w:val="20"/>
        </w:rPr>
        <w:t xml:space="preserve"> </w:t>
      </w:r>
      <w:r>
        <w:rPr>
          <w:sz w:val="20"/>
          <w:szCs w:val="20"/>
        </w:rPr>
        <w:t>8.2</w:t>
      </w:r>
      <w:r>
        <w:rPr>
          <w:sz w:val="20"/>
          <w:szCs w:val="20"/>
        </w:rPr>
        <w:t>5</w:t>
      </w:r>
      <w:r>
        <w:rPr>
          <w:sz w:val="20"/>
          <w:szCs w:val="20"/>
        </w:rPr>
        <w:t>% Se</w:t>
      </w:r>
      <w:r>
        <w:rPr>
          <w:sz w:val="20"/>
          <w:szCs w:val="20"/>
        </w:rPr>
        <w:t>nior Notes, resulting in an effective yield to maturity of</w:t>
      </w:r>
      <w:r>
        <w:rPr>
          <w:sz w:val="20"/>
          <w:szCs w:val="20"/>
        </w:rPr>
        <w:t xml:space="preserve"> </w:t>
      </w:r>
      <w:r>
        <w:rPr>
          <w:sz w:val="20"/>
          <w:szCs w:val="20"/>
        </w:rPr>
        <w:t>7.6</w:t>
      </w:r>
      <w:r>
        <w:rPr>
          <w:sz w:val="20"/>
          <w:szCs w:val="20"/>
        </w:rPr>
        <w:t>5</w:t>
      </w:r>
      <w:r>
        <w:rPr>
          <w:sz w:val="20"/>
          <w:szCs w:val="20"/>
        </w:rPr>
        <w:t>% for the Additional</w:t>
      </w:r>
      <w:r>
        <w:rPr>
          <w:sz w:val="20"/>
          <w:szCs w:val="20"/>
        </w:rPr>
        <w:t xml:space="preserve"> </w:t>
      </w:r>
      <w:r>
        <w:rPr>
          <w:sz w:val="20"/>
          <w:szCs w:val="20"/>
        </w:rPr>
        <w:t>8.2</w:t>
      </w:r>
      <w:r>
        <w:rPr>
          <w:sz w:val="20"/>
          <w:szCs w:val="20"/>
        </w:rPr>
        <w:t>5</w:t>
      </w:r>
      <w:r>
        <w:rPr>
          <w:sz w:val="20"/>
          <w:szCs w:val="20"/>
        </w:rPr>
        <w:t>% Senior Notes. The Additional</w:t>
      </w:r>
      <w:r>
        <w:rPr>
          <w:sz w:val="20"/>
          <w:szCs w:val="20"/>
        </w:rPr>
        <w:t xml:space="preserve"> </w:t>
      </w:r>
      <w:r>
        <w:rPr>
          <w:sz w:val="20"/>
          <w:szCs w:val="20"/>
        </w:rPr>
        <w:t>8.2</w:t>
      </w:r>
      <w:r>
        <w:rPr>
          <w:sz w:val="20"/>
          <w:szCs w:val="20"/>
        </w:rPr>
        <w:t>5</w:t>
      </w:r>
      <w:r>
        <w:rPr>
          <w:sz w:val="20"/>
          <w:szCs w:val="20"/>
        </w:rPr>
        <w:t>% Senior Notes and the Original</w:t>
      </w:r>
      <w:r>
        <w:rPr>
          <w:sz w:val="20"/>
          <w:szCs w:val="20"/>
        </w:rPr>
        <w:t xml:space="preserve"> </w:t>
      </w:r>
      <w:r>
        <w:rPr>
          <w:sz w:val="20"/>
          <w:szCs w:val="20"/>
        </w:rPr>
        <w:t>8.2</w:t>
      </w:r>
      <w:r>
        <w:rPr>
          <w:sz w:val="20"/>
          <w:szCs w:val="20"/>
        </w:rPr>
        <w:t>5</w:t>
      </w:r>
      <w:r>
        <w:rPr>
          <w:sz w:val="20"/>
          <w:szCs w:val="20"/>
        </w:rPr>
        <w:t>% Senior Notes, together the</w:t>
      </w:r>
      <w:r>
        <w:rPr>
          <w:sz w:val="20"/>
          <w:szCs w:val="20"/>
        </w:rPr>
        <w:t xml:space="preserve"> </w:t>
      </w:r>
      <w:r>
        <w:rPr>
          <w:sz w:val="20"/>
          <w:szCs w:val="20"/>
        </w:rPr>
        <w:t>8.2</w:t>
      </w:r>
      <w:r>
        <w:rPr>
          <w:sz w:val="20"/>
          <w:szCs w:val="20"/>
        </w:rPr>
        <w:t>5</w:t>
      </w:r>
      <w:r>
        <w:rPr>
          <w:sz w:val="20"/>
          <w:szCs w:val="20"/>
        </w:rPr>
        <w:t>% Senior Notes, constitute a single class of securities and have</w:t>
      </w:r>
      <w:r>
        <w:rPr>
          <w:sz w:val="20"/>
          <w:szCs w:val="20"/>
        </w:rPr>
        <w:t xml:space="preserve"> identical terms, other than issue date and issue price. The issuance of the Additional</w:t>
      </w:r>
      <w:r>
        <w:rPr>
          <w:sz w:val="20"/>
          <w:szCs w:val="20"/>
        </w:rPr>
        <w:t xml:space="preserve"> </w:t>
      </w:r>
      <w:r>
        <w:rPr>
          <w:sz w:val="20"/>
          <w:szCs w:val="20"/>
        </w:rPr>
        <w:t>8.2</w:t>
      </w:r>
      <w:r>
        <w:rPr>
          <w:sz w:val="20"/>
          <w:szCs w:val="20"/>
        </w:rPr>
        <w:t>5</w:t>
      </w:r>
      <w:r>
        <w:rPr>
          <w:sz w:val="20"/>
          <w:szCs w:val="20"/>
        </w:rPr>
        <w:t>% Senior Notes increased the total aggregate principal amount of</w:t>
      </w:r>
      <w:r>
        <w:rPr>
          <w:sz w:val="20"/>
          <w:szCs w:val="20"/>
        </w:rPr>
        <w:t xml:space="preserve"> </w:t>
      </w:r>
      <w:r>
        <w:rPr>
          <w:sz w:val="20"/>
          <w:szCs w:val="20"/>
        </w:rPr>
        <w:t>8.2</w:t>
      </w:r>
      <w:r>
        <w:rPr>
          <w:sz w:val="20"/>
          <w:szCs w:val="20"/>
        </w:rPr>
        <w:t>5</w:t>
      </w:r>
      <w:r>
        <w:rPr>
          <w:sz w:val="20"/>
          <w:szCs w:val="20"/>
        </w:rPr>
        <w:t xml:space="preserve">% Senior Notes outstanding to </w:t>
      </w:r>
      <w:r>
        <w:rPr>
          <w:sz w:val="20"/>
          <w:szCs w:val="20"/>
        </w:rPr>
        <w:t>$</w:t>
      </w:r>
      <w:r>
        <w:rPr>
          <w:sz w:val="20"/>
          <w:szCs w:val="20"/>
        </w:rPr>
        <w:t>675.</w:t>
      </w:r>
      <w:r>
        <w:rPr>
          <w:sz w:val="20"/>
          <w:szCs w:val="20"/>
        </w:rPr>
        <w:t>0</w:t>
      </w:r>
      <w:r>
        <w:rPr>
          <w:sz w:val="20"/>
          <w:szCs w:val="20"/>
        </w:rPr>
        <w:t xml:space="preserve"> million. The net proceeds from the issuance of the Additio</w:t>
      </w:r>
      <w:r>
        <w:rPr>
          <w:sz w:val="20"/>
          <w:szCs w:val="20"/>
        </w:rPr>
        <w:t>nal</w:t>
      </w:r>
      <w:r>
        <w:rPr>
          <w:sz w:val="20"/>
          <w:szCs w:val="20"/>
        </w:rPr>
        <w:t xml:space="preserve"> </w:t>
      </w:r>
      <w:r>
        <w:rPr>
          <w:sz w:val="20"/>
          <w:szCs w:val="20"/>
        </w:rPr>
        <w:t>8.2</w:t>
      </w:r>
      <w:r>
        <w:rPr>
          <w:sz w:val="20"/>
          <w:szCs w:val="20"/>
        </w:rPr>
        <w:t>5</w:t>
      </w:r>
      <w:r>
        <w:rPr>
          <w:sz w:val="20"/>
          <w:szCs w:val="20"/>
        </w:rPr>
        <w:t xml:space="preserve">% Senior Notes totaled approximately </w:t>
      </w:r>
      <w:r>
        <w:rPr>
          <w:sz w:val="20"/>
          <w:szCs w:val="20"/>
        </w:rPr>
        <w:t>$</w:t>
      </w:r>
      <w:r>
        <w:rPr>
          <w:sz w:val="20"/>
          <w:szCs w:val="20"/>
        </w:rPr>
        <w:t>225.</w:t>
      </w:r>
      <w:r>
        <w:rPr>
          <w:sz w:val="20"/>
          <w:szCs w:val="20"/>
        </w:rPr>
        <w:t>5</w:t>
      </w:r>
      <w:r>
        <w:rPr>
          <w:sz w:val="20"/>
          <w:szCs w:val="20"/>
        </w:rPr>
        <w:t xml:space="preserve"> million, after deducting the underwriting discounts and estimated offering expenses and including the original issuance premium. The net proceeds from the offering of the Additional</w:t>
      </w:r>
      <w:r>
        <w:rPr>
          <w:sz w:val="20"/>
          <w:szCs w:val="20"/>
        </w:rPr>
        <w:t xml:space="preserve"> </w:t>
      </w:r>
      <w:r>
        <w:rPr>
          <w:sz w:val="20"/>
          <w:szCs w:val="20"/>
        </w:rPr>
        <w:t>8.2</w:t>
      </w:r>
      <w:r>
        <w:rPr>
          <w:sz w:val="20"/>
          <w:szCs w:val="20"/>
        </w:rPr>
        <w:t>5</w:t>
      </w:r>
      <w:r>
        <w:rPr>
          <w:sz w:val="20"/>
          <w:szCs w:val="20"/>
        </w:rPr>
        <w:t>% Senior Notes wer</w:t>
      </w:r>
      <w:r>
        <w:rPr>
          <w:sz w:val="20"/>
          <w:szCs w:val="20"/>
        </w:rPr>
        <w:t xml:space="preserve">e used to pay down our Previous Revolving Credit Facility and for general corporate purposes. During 2022, the Company purchased </w:t>
      </w:r>
      <w:r>
        <w:rPr>
          <w:sz w:val="20"/>
          <w:szCs w:val="20"/>
        </w:rPr>
        <w:t>$</w:t>
      </w:r>
      <w:r>
        <w:rPr>
          <w:sz w:val="20"/>
          <w:szCs w:val="20"/>
        </w:rPr>
        <w:t>60.</w:t>
      </w:r>
      <w:r>
        <w:rPr>
          <w:sz w:val="20"/>
          <w:szCs w:val="20"/>
        </w:rPr>
        <w:t>9</w:t>
      </w:r>
      <w:r>
        <w:rPr>
          <w:sz w:val="20"/>
          <w:szCs w:val="20"/>
        </w:rPr>
        <w:t xml:space="preserve"> million of the</w:t>
      </w:r>
      <w:r>
        <w:rPr>
          <w:sz w:val="20"/>
          <w:szCs w:val="20"/>
        </w:rPr>
        <w:t xml:space="preserve"> </w:t>
      </w:r>
      <w:r>
        <w:rPr>
          <w:sz w:val="20"/>
          <w:szCs w:val="20"/>
        </w:rPr>
        <w:t>8.2</w:t>
      </w:r>
      <w:r>
        <w:rPr>
          <w:sz w:val="20"/>
          <w:szCs w:val="20"/>
        </w:rPr>
        <w:t>5</w:t>
      </w:r>
      <w:r>
        <w:rPr>
          <w:sz w:val="20"/>
          <w:szCs w:val="20"/>
        </w:rPr>
        <w:t>% Senior Notes at a weighted average purchase price approximately equal to par in open market purchase</w:t>
      </w:r>
      <w:r>
        <w:rPr>
          <w:sz w:val="20"/>
          <w:szCs w:val="20"/>
        </w:rPr>
        <w:t>s, reducing the outstanding balance of the</w:t>
      </w:r>
      <w:r>
        <w:rPr>
          <w:sz w:val="20"/>
          <w:szCs w:val="20"/>
        </w:rPr>
        <w:t xml:space="preserve"> </w:t>
      </w:r>
      <w:r>
        <w:rPr>
          <w:sz w:val="20"/>
          <w:szCs w:val="20"/>
        </w:rPr>
        <w:t>8.2</w:t>
      </w:r>
      <w:r>
        <w:rPr>
          <w:sz w:val="20"/>
          <w:szCs w:val="20"/>
        </w:rPr>
        <w:t>5</w:t>
      </w:r>
      <w:r>
        <w:rPr>
          <w:sz w:val="20"/>
          <w:szCs w:val="20"/>
        </w:rPr>
        <w:t>% Senior Notes to</w:t>
      </w:r>
      <w:r>
        <w:rPr>
          <w:sz w:val="20"/>
          <w:szCs w:val="20"/>
        </w:rPr>
        <w:t xml:space="preserve"> </w:t>
      </w:r>
      <w:r>
        <w:rPr>
          <w:sz w:val="20"/>
          <w:szCs w:val="20"/>
        </w:rPr>
        <w:t>$</w:t>
      </w:r>
      <w:r>
        <w:rPr>
          <w:sz w:val="20"/>
          <w:szCs w:val="20"/>
        </w:rPr>
        <w:t>614.</w:t>
      </w:r>
      <w:r>
        <w:rPr>
          <w:sz w:val="20"/>
          <w:szCs w:val="20"/>
        </w:rPr>
        <w:t>1</w:t>
      </w:r>
      <w:r>
        <w:rPr>
          <w:sz w:val="20"/>
          <w:szCs w:val="20"/>
        </w:rPr>
        <w:t xml:space="preserve"> millio</w:t>
      </w:r>
      <w:r>
        <w:rPr>
          <w:sz w:val="20"/>
          <w:szCs w:val="20"/>
        </w:rPr>
        <w:t>n</w:t>
      </w:r>
      <w:r>
        <w:rPr>
          <w:sz w:val="20"/>
          <w:szCs w:val="20"/>
        </w:rPr>
        <w:t xml:space="preserve"> as of December 31, 2022.</w:t>
      </w:r>
      <w:r>
        <w:rPr>
          <w:sz w:val="20"/>
          <w:szCs w:val="20"/>
        </w:rPr>
        <w:t xml:space="preserve"> </w:t>
      </w:r>
      <w:r>
        <w:rPr>
          <w:sz w:val="20"/>
          <w:szCs w:val="20"/>
        </w:rPr>
        <w:t xml:space="preserve">CoreCivic recorded a charge of </w:t>
      </w:r>
      <w:r>
        <w:rPr>
          <w:sz w:val="20"/>
          <w:szCs w:val="20"/>
        </w:rPr>
        <w:t>$</w:t>
      </w:r>
      <w:r>
        <w:rPr>
          <w:sz w:val="20"/>
          <w:szCs w:val="20"/>
        </w:rPr>
        <w:t>1.</w:t>
      </w:r>
      <w:r>
        <w:rPr>
          <w:sz w:val="20"/>
          <w:szCs w:val="20"/>
        </w:rPr>
        <w:t>2</w:t>
      </w:r>
      <w:r>
        <w:rPr>
          <w:sz w:val="20"/>
          <w:szCs w:val="20"/>
        </w:rPr>
        <w:t xml:space="preserve"> million during 2022 for the write-off of a pro-rata portion of the pre-existing loan costs associated with the open</w:t>
      </w:r>
      <w:r>
        <w:rPr>
          <w:sz w:val="20"/>
          <w:szCs w:val="20"/>
        </w:rPr>
        <w:t xml:space="preserve"> market purchases of the</w:t>
      </w:r>
      <w:r>
        <w:rPr>
          <w:sz w:val="20"/>
          <w:szCs w:val="20"/>
        </w:rPr>
        <w:t xml:space="preserve"> </w:t>
      </w:r>
      <w:r>
        <w:rPr>
          <w:sz w:val="20"/>
          <w:szCs w:val="20"/>
        </w:rPr>
        <w:t>8.2</w:t>
      </w:r>
      <w:r>
        <w:rPr>
          <w:sz w:val="20"/>
          <w:szCs w:val="20"/>
        </w:rPr>
        <w:t>5</w:t>
      </w:r>
      <w:r>
        <w:rPr>
          <w:sz w:val="20"/>
          <w:szCs w:val="20"/>
        </w:rPr>
        <w:t>% Senior Notes, net of discounts to the principal balance of notes purchase</w:t>
      </w:r>
      <w:r>
        <w:rPr>
          <w:sz w:val="20"/>
          <w:szCs w:val="20"/>
        </w:rPr>
        <w:t>d</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1464732807"/>
        <w:rPr>
          <w:sz w:val="20"/>
          <w:szCs w:val="20"/>
        </w:rPr>
      </w:pPr>
      <w:r>
        <w:rPr>
          <w:sz w:val="20"/>
          <w:szCs w:val="20"/>
        </w:rPr>
        <w:t>The indentures governing the Senior Notes contain certain customary covenants that, subject to certain exceptions and qualifications, restrict CoreC</w:t>
      </w:r>
      <w:r>
        <w:rPr>
          <w:sz w:val="20"/>
          <w:szCs w:val="20"/>
        </w:rPr>
        <w:t>ivic's ability to, among other things, create or permit to exist certain liens and consolidate, merge or transfer all or substantially all of CoreCivic's assets. In addition, if CoreCivic experiences specific kinds of changes in control, CoreCivic must off</w:t>
      </w:r>
      <w:r>
        <w:rPr>
          <w:sz w:val="20"/>
          <w:szCs w:val="20"/>
        </w:rPr>
        <w:t>er to repurchase all or any portion of the Senior Notes. The offer price for the Senior Notes in connection with a change in control would be</w:t>
      </w:r>
      <w:r>
        <w:rPr>
          <w:sz w:val="20"/>
          <w:szCs w:val="20"/>
        </w:rPr>
        <w:t xml:space="preserve"> </w:t>
      </w:r>
      <w:r>
        <w:rPr>
          <w:sz w:val="20"/>
          <w:szCs w:val="20"/>
        </w:rPr>
        <w:t>10</w:t>
      </w:r>
      <w:r>
        <w:rPr>
          <w:sz w:val="20"/>
          <w:szCs w:val="20"/>
        </w:rPr>
        <w:t>1</w:t>
      </w:r>
      <w:r>
        <w:rPr>
          <w:sz w:val="20"/>
          <w:szCs w:val="20"/>
        </w:rPr>
        <w:t>% of the aggregate principal amount of the notes repurchased plus accrued and unpaid interest, if any, on the n</w:t>
      </w:r>
      <w:r>
        <w:rPr>
          <w:sz w:val="20"/>
          <w:szCs w:val="20"/>
        </w:rPr>
        <w:t>otes repurchased to the date of purchase. The indenture related to our</w:t>
      </w:r>
      <w:r>
        <w:rPr>
          <w:sz w:val="20"/>
          <w:szCs w:val="20"/>
        </w:rPr>
        <w:t xml:space="preserve"> </w:t>
      </w:r>
      <w:r>
        <w:rPr>
          <w:sz w:val="20"/>
          <w:szCs w:val="20"/>
        </w:rPr>
        <w:t>8.2</w:t>
      </w:r>
      <w:r>
        <w:rPr>
          <w:sz w:val="20"/>
          <w:szCs w:val="20"/>
        </w:rPr>
        <w:t>5</w:t>
      </w:r>
      <w:r>
        <w:rPr>
          <w:sz w:val="20"/>
          <w:szCs w:val="20"/>
        </w:rPr>
        <w:t>% Senior Notes additionally limits our ability to incur indebtedness, make restricted payments and investments and prepay certain indebtedness.</w:t>
      </w:r>
      <w:r>
        <w:rPr>
          <w:sz w:val="20"/>
          <w:szCs w:val="20"/>
        </w:rPr>
        <w:t xml:space="preserve"> </w:t>
      </w:r>
      <w:r>
        <w:rPr>
          <w:sz w:val="20"/>
          <w:szCs w:val="20"/>
        </w:rPr>
        <w:t xml:space="preserve">The Senior Notes are also subject to </w:t>
      </w:r>
      <w:r>
        <w:rPr>
          <w:sz w:val="20"/>
          <w:szCs w:val="20"/>
        </w:rPr>
        <w:t>certain cross-default provisions with the terms of CoreCivic's New Bank Credit Facility</w:t>
      </w:r>
      <w:r>
        <w:rPr>
          <w:sz w:val="20"/>
          <w:szCs w:val="20"/>
        </w:rPr>
        <w:t>.</w:t>
      </w:r>
    </w:p>
    <w:p w:rsidR="00000000" w:rsidRDefault="006D723D">
      <w:pPr>
        <w:pStyle w:val="a3"/>
        <w:spacing w:before="0" w:beforeAutospacing="0" w:after="0" w:afterAutospacing="0"/>
        <w:jc w:val="center"/>
        <w:divId w:val="1464732807"/>
        <w:rPr>
          <w:sz w:val="20"/>
          <w:szCs w:val="20"/>
        </w:rPr>
      </w:pPr>
      <w:r>
        <w:rPr>
          <w:sz w:val="20"/>
          <w:szCs w:val="20"/>
        </w:rPr>
        <w:t>F</w:t>
      </w:r>
      <w:r>
        <w:rPr>
          <w:sz w:val="20"/>
          <w:szCs w:val="20"/>
        </w:rPr>
        <w:t>-</w:t>
      </w:r>
      <w:r>
        <w:rPr>
          <w:sz w:val="20"/>
          <w:szCs w:val="20"/>
        </w:rPr>
        <w:t>2</w:t>
      </w:r>
      <w:r>
        <w:rPr>
          <w:sz w:val="20"/>
          <w:szCs w:val="20"/>
        </w:rPr>
        <w:t>6</w:t>
      </w:r>
    </w:p>
    <w:p w:rsidR="00000000" w:rsidRDefault="006D723D">
      <w:pPr>
        <w:divId w:val="1464732807"/>
        <w:rPr>
          <w:rFonts w:eastAsia="Times New Roman"/>
          <w:sz w:val="20"/>
          <w:szCs w:val="20"/>
        </w:rPr>
      </w:pPr>
      <w:r>
        <w:rPr>
          <w:rFonts w:eastAsia="Times New Roman"/>
          <w:sz w:val="20"/>
          <w:szCs w:val="20"/>
        </w:rPr>
        <w:pict>
          <v:rect id="_x0000_i1154" style="width:0;height:1.5pt" o:hralign="center" o:hrstd="t" o:hr="t" fillcolor="#a0a0a0" stroked="f"/>
        </w:pict>
      </w:r>
    </w:p>
    <w:p w:rsidR="00000000" w:rsidRDefault="006D723D">
      <w:pPr>
        <w:pStyle w:val="a3"/>
        <w:spacing w:before="0" w:beforeAutospacing="0" w:after="0" w:afterAutospacing="0"/>
        <w:divId w:val="1464732807"/>
        <w:rPr>
          <w:sz w:val="20"/>
          <w:szCs w:val="20"/>
        </w:rPr>
      </w:pPr>
      <w:r>
        <w:rPr>
          <w:sz w:val="20"/>
          <w:szCs w:val="20"/>
        </w:rPr>
        <w:t> </w:t>
      </w:r>
    </w:p>
    <w:p w:rsidR="00000000" w:rsidRDefault="006D723D">
      <w:pPr>
        <w:pStyle w:val="a3"/>
        <w:spacing w:before="240" w:beforeAutospacing="0" w:after="0" w:afterAutospacing="0"/>
        <w:ind w:left="476"/>
        <w:jc w:val="both"/>
        <w:divId w:val="1464732807"/>
        <w:rPr>
          <w:sz w:val="20"/>
          <w:szCs w:val="20"/>
        </w:rPr>
      </w:pPr>
      <w:r>
        <w:rPr>
          <w:i/>
          <w:iCs/>
          <w:sz w:val="20"/>
          <w:szCs w:val="20"/>
        </w:rPr>
        <w:t>Lansing Correctional Facility Non-Recourse Mortgage Note.</w:t>
      </w:r>
      <w:r>
        <w:rPr>
          <w:i/>
          <w:iCs/>
          <w:sz w:val="20"/>
          <w:szCs w:val="20"/>
        </w:rPr>
        <w:t xml:space="preserve"> </w:t>
      </w:r>
      <w:r>
        <w:rPr>
          <w:sz w:val="20"/>
          <w:szCs w:val="20"/>
        </w:rPr>
        <w:t>On April 20, 2018, CoreCivic of Kansas, LLC (the "Issuer"), a whol</w:t>
      </w:r>
      <w:r>
        <w:rPr>
          <w:sz w:val="20"/>
          <w:szCs w:val="20"/>
        </w:rPr>
        <w:t xml:space="preserve">ly-owned unrestricted subsidiary of the Company, priced </w:t>
      </w:r>
      <w:r>
        <w:rPr>
          <w:sz w:val="20"/>
          <w:szCs w:val="20"/>
        </w:rPr>
        <w:t>$</w:t>
      </w:r>
      <w:r>
        <w:rPr>
          <w:sz w:val="20"/>
          <w:szCs w:val="20"/>
        </w:rPr>
        <w:t>159.</w:t>
      </w:r>
      <w:r>
        <w:rPr>
          <w:sz w:val="20"/>
          <w:szCs w:val="20"/>
        </w:rPr>
        <w:t>5</w:t>
      </w:r>
      <w:r>
        <w:rPr>
          <w:sz w:val="20"/>
          <w:szCs w:val="20"/>
        </w:rPr>
        <w:t xml:space="preserve"> million in aggregate principal amount of non-recourse senior secured notes of the Issuer (the "Kansas Notes"), in a private placement pursuant to Section 4(a)(2) of the Securities Act of 1933, </w:t>
      </w:r>
      <w:r>
        <w:rPr>
          <w:sz w:val="20"/>
          <w:szCs w:val="20"/>
        </w:rPr>
        <w:t>as amended. The private placement closed on June 1, 2018. The Company used the proceeds of the private placement, which were drawn on quarterly funding dates beginning in the second quarter of 2018, to fund construction of the Lansing Correctional Facility</w:t>
      </w:r>
      <w:r>
        <w:rPr>
          <w:sz w:val="20"/>
          <w:szCs w:val="20"/>
        </w:rPr>
        <w:t>, along with costs and expenses of the project. The Kansas Notes have a yield to maturity of</w:t>
      </w:r>
      <w:r>
        <w:rPr>
          <w:sz w:val="20"/>
          <w:szCs w:val="20"/>
        </w:rPr>
        <w:t xml:space="preserve"> </w:t>
      </w:r>
      <w:r>
        <w:rPr>
          <w:sz w:val="20"/>
          <w:szCs w:val="20"/>
        </w:rPr>
        <w:t>4.4</w:t>
      </w:r>
      <w:r>
        <w:rPr>
          <w:sz w:val="20"/>
          <w:szCs w:val="20"/>
        </w:rPr>
        <w:t>3</w:t>
      </w:r>
      <w:r>
        <w:rPr>
          <w:sz w:val="20"/>
          <w:szCs w:val="20"/>
        </w:rPr>
        <w:t>% and are scheduled to mature in</w:t>
      </w:r>
      <w:r>
        <w:rPr>
          <w:sz w:val="20"/>
          <w:szCs w:val="20"/>
        </w:rPr>
        <w:t xml:space="preserve"> </w:t>
      </w:r>
      <w:r>
        <w:rPr>
          <w:sz w:val="20"/>
          <w:szCs w:val="20"/>
        </w:rPr>
        <w:t>January 204</w:t>
      </w:r>
      <w:r>
        <w:rPr>
          <w:sz w:val="20"/>
          <w:szCs w:val="20"/>
        </w:rPr>
        <w:t>0</w:t>
      </w:r>
      <w:r>
        <w:rPr>
          <w:sz w:val="20"/>
          <w:szCs w:val="20"/>
        </w:rPr>
        <w:t>,</w:t>
      </w:r>
      <w:r>
        <w:rPr>
          <w:sz w:val="20"/>
          <w:szCs w:val="20"/>
        </w:rPr>
        <w:t xml:space="preserve"> </w:t>
      </w:r>
      <w:r>
        <w:rPr>
          <w:sz w:val="20"/>
          <w:szCs w:val="20"/>
        </w:rPr>
        <w:t>20 year</w:t>
      </w:r>
      <w:r>
        <w:rPr>
          <w:sz w:val="20"/>
          <w:szCs w:val="20"/>
        </w:rPr>
        <w:t>s</w:t>
      </w:r>
      <w:r>
        <w:rPr>
          <w:sz w:val="20"/>
          <w:szCs w:val="20"/>
        </w:rPr>
        <w:t xml:space="preserve"> following completion of the project, which occurred in</w:t>
      </w:r>
      <w:r>
        <w:rPr>
          <w:sz w:val="20"/>
          <w:szCs w:val="20"/>
        </w:rPr>
        <w:t xml:space="preserve"> </w:t>
      </w:r>
      <w:r>
        <w:rPr>
          <w:sz w:val="20"/>
          <w:szCs w:val="20"/>
        </w:rPr>
        <w:t>January 202</w:t>
      </w:r>
      <w:r>
        <w:rPr>
          <w:sz w:val="20"/>
          <w:szCs w:val="20"/>
        </w:rPr>
        <w:t>0</w:t>
      </w:r>
      <w:r>
        <w:rPr>
          <w:sz w:val="20"/>
          <w:szCs w:val="20"/>
        </w:rPr>
        <w:t>. Principal and interest on the Kans</w:t>
      </w:r>
      <w:r>
        <w:rPr>
          <w:sz w:val="20"/>
          <w:szCs w:val="20"/>
        </w:rPr>
        <w:t>as Notes are payable in quarterly payments, which began in July 2020 and continue until maturity. CoreCivic may redeem all or part of the Kansas Notes at any time upon written notice of not less than 30 days and not more than 60 days prior to the date fixe</w:t>
      </w:r>
      <w:r>
        <w:rPr>
          <w:sz w:val="20"/>
          <w:szCs w:val="20"/>
        </w:rPr>
        <w:t xml:space="preserve">d for such prepayment, with a "make-whole" amount, together with interest on the Kansas Notes accrued to, but not including, the redemption date. CoreCivic capitalized approximately </w:t>
      </w:r>
      <w:r>
        <w:rPr>
          <w:sz w:val="20"/>
          <w:szCs w:val="20"/>
        </w:rPr>
        <w:t>$</w:t>
      </w:r>
      <w:r>
        <w:rPr>
          <w:sz w:val="20"/>
          <w:szCs w:val="20"/>
        </w:rPr>
        <w:t>3.</w:t>
      </w:r>
      <w:r>
        <w:rPr>
          <w:sz w:val="20"/>
          <w:szCs w:val="20"/>
        </w:rPr>
        <w:t>4</w:t>
      </w:r>
      <w:r>
        <w:rPr>
          <w:sz w:val="20"/>
          <w:szCs w:val="20"/>
        </w:rPr>
        <w:t xml:space="preserve"> million of costs associated with the private placement. Because the I</w:t>
      </w:r>
      <w:r>
        <w:rPr>
          <w:sz w:val="20"/>
          <w:szCs w:val="20"/>
        </w:rPr>
        <w:t>ssuer has been designated as an unrestricted subsidiary of the Company under terms of the</w:t>
      </w:r>
      <w:r>
        <w:rPr>
          <w:sz w:val="20"/>
          <w:szCs w:val="20"/>
        </w:rPr>
        <w:t xml:space="preserve"> </w:t>
      </w:r>
      <w:r>
        <w:rPr>
          <w:sz w:val="20"/>
          <w:szCs w:val="20"/>
        </w:rPr>
        <w:t xml:space="preserve">Company's New Bank Credit Facility, the issuance and service of the Kansas Notes, and the revenues and expenses associated with the facility lease, do not impact the </w:t>
      </w:r>
      <w:r>
        <w:rPr>
          <w:sz w:val="20"/>
          <w:szCs w:val="20"/>
        </w:rPr>
        <w:t>financial covenants associated with the Company's New Bank Credit Facility. As of December 31, 2022, the outstanding balance of the Kansas Notes was</w:t>
      </w:r>
      <w:r>
        <w:rPr>
          <w:sz w:val="20"/>
          <w:szCs w:val="20"/>
        </w:rPr>
        <w:t xml:space="preserve"> </w:t>
      </w:r>
      <w:r>
        <w:rPr>
          <w:sz w:val="20"/>
          <w:szCs w:val="20"/>
        </w:rPr>
        <w:t>$</w:t>
      </w:r>
      <w:r>
        <w:rPr>
          <w:sz w:val="20"/>
          <w:szCs w:val="20"/>
        </w:rPr>
        <w:t>150.</w:t>
      </w:r>
      <w:r>
        <w:rPr>
          <w:sz w:val="20"/>
          <w:szCs w:val="20"/>
        </w:rPr>
        <w:t>4</w:t>
      </w:r>
      <w:r>
        <w:rPr>
          <w:sz w:val="20"/>
          <w:szCs w:val="20"/>
        </w:rPr>
        <w:t xml:space="preserve"> millio</w:t>
      </w:r>
      <w:r>
        <w:rPr>
          <w:sz w:val="20"/>
          <w:szCs w:val="20"/>
        </w:rPr>
        <w:t>n</w:t>
      </w:r>
      <w:r>
        <w:rPr>
          <w:sz w:val="20"/>
          <w:szCs w:val="20"/>
        </w:rPr>
        <w:t>.</w:t>
      </w:r>
      <w:r>
        <w:rPr>
          <w:i/>
          <w:iCs/>
          <w:sz w:val="20"/>
          <w:szCs w:val="20"/>
        </w:rPr>
        <w:t xml:space="preserve"> </w:t>
      </w:r>
    </w:p>
    <w:p w:rsidR="00000000" w:rsidRDefault="006D723D">
      <w:pPr>
        <w:pStyle w:val="a3"/>
        <w:spacing w:before="240" w:beforeAutospacing="0" w:after="0" w:afterAutospacing="0"/>
        <w:ind w:left="476"/>
        <w:jc w:val="both"/>
        <w:divId w:val="1464732807"/>
        <w:rPr>
          <w:sz w:val="20"/>
          <w:szCs w:val="20"/>
        </w:rPr>
      </w:pPr>
      <w:r>
        <w:rPr>
          <w:i/>
          <w:iCs/>
          <w:sz w:val="20"/>
          <w:szCs w:val="20"/>
        </w:rPr>
        <w:t>Guarantees and Covenants</w:t>
      </w:r>
      <w:r>
        <w:rPr>
          <w:i/>
          <w:iCs/>
          <w:sz w:val="20"/>
          <w:szCs w:val="20"/>
        </w:rPr>
        <w:t>.</w:t>
      </w:r>
      <w:r>
        <w:rPr>
          <w:sz w:val="20"/>
          <w:szCs w:val="20"/>
        </w:rPr>
        <w:t xml:space="preserve"> All of the restricted domestic subsidiaries of CoreCivic (as the</w:t>
      </w:r>
      <w:r>
        <w:rPr>
          <w:sz w:val="20"/>
          <w:szCs w:val="20"/>
        </w:rPr>
        <w:t xml:space="preserve"> parent corporation) have provided full and unconditional guarantees of the Senior Notes. All of CoreCivic's subsidiaries guaranteeing the Senior Notes are</w:t>
      </w:r>
      <w:r>
        <w:rPr>
          <w:sz w:val="20"/>
          <w:szCs w:val="20"/>
        </w:rPr>
        <w:t xml:space="preserve"> </w:t>
      </w:r>
      <w:r>
        <w:rPr>
          <w:sz w:val="20"/>
          <w:szCs w:val="20"/>
        </w:rPr>
        <w:t>10</w:t>
      </w:r>
      <w:r>
        <w:rPr>
          <w:sz w:val="20"/>
          <w:szCs w:val="20"/>
        </w:rPr>
        <w:t>0</w:t>
      </w:r>
      <w:r>
        <w:rPr>
          <w:sz w:val="20"/>
          <w:szCs w:val="20"/>
        </w:rPr>
        <w:t>% owned subsidiaries of CoreCivic; and the subsidiary guarantees are full and unconditional and a</w:t>
      </w:r>
      <w:r>
        <w:rPr>
          <w:sz w:val="20"/>
          <w:szCs w:val="20"/>
        </w:rPr>
        <w:t>re joint and several obligations of the guarantors</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1464732807"/>
        <w:rPr>
          <w:sz w:val="20"/>
          <w:szCs w:val="20"/>
        </w:rPr>
      </w:pPr>
      <w:r>
        <w:rPr>
          <w:sz w:val="20"/>
          <w:szCs w:val="20"/>
        </w:rPr>
        <w:t>As of December 31, 2022, neither CoreCivic nor any of its subsidiary guarantors had any material or significant restrictions on CoreCivic's ability to obtain funds from its subsidiaries by dividend or lo</w:t>
      </w:r>
      <w:r>
        <w:rPr>
          <w:sz w:val="20"/>
          <w:szCs w:val="20"/>
        </w:rPr>
        <w:t>an or to transfer assets from such subsidiaries</w:t>
      </w:r>
      <w:r>
        <w:rPr>
          <w:sz w:val="20"/>
          <w:szCs w:val="20"/>
        </w:rPr>
        <w:t>.</w:t>
      </w:r>
    </w:p>
    <w:p w:rsidR="00000000" w:rsidRDefault="006D723D">
      <w:pPr>
        <w:pStyle w:val="a3"/>
        <w:spacing w:before="360" w:beforeAutospacing="0" w:after="0" w:afterAutospacing="0"/>
        <w:ind w:left="476"/>
        <w:jc w:val="both"/>
        <w:divId w:val="1464732807"/>
        <w:rPr>
          <w:sz w:val="20"/>
          <w:szCs w:val="20"/>
        </w:rPr>
      </w:pPr>
      <w:r>
        <w:rPr>
          <w:b/>
          <w:bCs/>
          <w:sz w:val="20"/>
          <w:szCs w:val="20"/>
        </w:rPr>
        <w:t>Other Debt Transaction</w:t>
      </w:r>
      <w:r>
        <w:rPr>
          <w:b/>
          <w:bCs/>
          <w:sz w:val="20"/>
          <w:szCs w:val="20"/>
        </w:rPr>
        <w:t>s</w:t>
      </w:r>
    </w:p>
    <w:p w:rsidR="00000000" w:rsidRDefault="006D723D">
      <w:pPr>
        <w:pStyle w:val="a3"/>
        <w:spacing w:before="120" w:beforeAutospacing="0" w:after="0" w:afterAutospacing="0"/>
        <w:ind w:left="476"/>
        <w:jc w:val="both"/>
        <w:divId w:val="1464732807"/>
        <w:rPr>
          <w:sz w:val="20"/>
          <w:szCs w:val="20"/>
        </w:rPr>
      </w:pPr>
      <w:r>
        <w:rPr>
          <w:i/>
          <w:iCs/>
          <w:sz w:val="20"/>
          <w:szCs w:val="20"/>
        </w:rPr>
        <w:t>Letters of Credit.</w:t>
      </w:r>
      <w:r>
        <w:rPr>
          <w:i/>
          <w:iCs/>
          <w:sz w:val="20"/>
          <w:szCs w:val="20"/>
        </w:rPr>
        <w:t xml:space="preserve"> </w:t>
      </w:r>
      <w:r>
        <w:rPr>
          <w:sz w:val="20"/>
          <w:szCs w:val="20"/>
        </w:rPr>
        <w:t xml:space="preserve">At December 31, 2022 and 2021, CoreCivic had </w:t>
      </w:r>
      <w:r>
        <w:rPr>
          <w:sz w:val="20"/>
          <w:szCs w:val="20"/>
        </w:rPr>
        <w:t>$</w:t>
      </w:r>
      <w:r>
        <w:rPr>
          <w:sz w:val="20"/>
          <w:szCs w:val="20"/>
        </w:rPr>
        <w:t>16.</w:t>
      </w:r>
      <w:r>
        <w:rPr>
          <w:sz w:val="20"/>
          <w:szCs w:val="20"/>
        </w:rPr>
        <w:t>8</w:t>
      </w:r>
      <w:r>
        <w:rPr>
          <w:sz w:val="20"/>
          <w:szCs w:val="20"/>
        </w:rPr>
        <w:t xml:space="preserve"> million and </w:t>
      </w:r>
      <w:r>
        <w:rPr>
          <w:sz w:val="20"/>
          <w:szCs w:val="20"/>
        </w:rPr>
        <w:t>$</w:t>
      </w:r>
      <w:r>
        <w:rPr>
          <w:sz w:val="20"/>
          <w:szCs w:val="20"/>
        </w:rPr>
        <w:t>13.</w:t>
      </w:r>
      <w:r>
        <w:rPr>
          <w:sz w:val="20"/>
          <w:szCs w:val="20"/>
        </w:rPr>
        <w:t>9</w:t>
      </w:r>
      <w:r>
        <w:rPr>
          <w:sz w:val="20"/>
          <w:szCs w:val="20"/>
        </w:rPr>
        <w:t xml:space="preserve"> </w:t>
      </w:r>
      <w:r>
        <w:rPr>
          <w:sz w:val="20"/>
          <w:szCs w:val="20"/>
        </w:rPr>
        <w:t>million, respectively, in outstanding letters of credit. The letters of credit were issued to secure CoreCivic's workers' compensation and general liability insurance policies, performance bonds, and for a debt service reserve requirement under terms of th</w:t>
      </w:r>
      <w:r>
        <w:rPr>
          <w:sz w:val="20"/>
          <w:szCs w:val="20"/>
        </w:rPr>
        <w:t>e Kansas Notes</w:t>
      </w:r>
      <w:r>
        <w:rPr>
          <w:sz w:val="20"/>
          <w:szCs w:val="20"/>
        </w:rPr>
        <w:t>.</w:t>
      </w:r>
      <w:r>
        <w:rPr>
          <w:sz w:val="20"/>
          <w:szCs w:val="20"/>
        </w:rPr>
        <w:t xml:space="preserve"> </w:t>
      </w:r>
    </w:p>
    <w:p w:rsidR="00000000" w:rsidRDefault="006D723D">
      <w:pPr>
        <w:pStyle w:val="a3"/>
        <w:spacing w:before="360" w:beforeAutospacing="0" w:after="0" w:afterAutospacing="0"/>
        <w:ind w:left="476"/>
        <w:jc w:val="both"/>
        <w:divId w:val="1464732807"/>
        <w:rPr>
          <w:sz w:val="20"/>
          <w:szCs w:val="20"/>
        </w:rPr>
      </w:pPr>
      <w:r>
        <w:rPr>
          <w:b/>
          <w:bCs/>
          <w:sz w:val="20"/>
          <w:szCs w:val="20"/>
        </w:rPr>
        <w:t>Debt Maturitie</w:t>
      </w:r>
      <w:r>
        <w:rPr>
          <w:b/>
          <w:bCs/>
          <w:sz w:val="20"/>
          <w:szCs w:val="20"/>
        </w:rPr>
        <w:t>s</w:t>
      </w:r>
    </w:p>
    <w:p w:rsidR="00000000" w:rsidRDefault="006D723D">
      <w:pPr>
        <w:pStyle w:val="a3"/>
        <w:spacing w:before="120" w:beforeAutospacing="0" w:after="0" w:afterAutospacing="0"/>
        <w:ind w:left="476"/>
        <w:jc w:val="both"/>
        <w:divId w:val="641467494"/>
        <w:rPr>
          <w:sz w:val="20"/>
          <w:szCs w:val="20"/>
        </w:rPr>
      </w:pPr>
      <w:r>
        <w:rPr>
          <w:sz w:val="20"/>
          <w:szCs w:val="20"/>
        </w:rPr>
        <w:t>Scheduled principal payments as of</w:t>
      </w:r>
      <w:r>
        <w:rPr>
          <w:sz w:val="20"/>
          <w:szCs w:val="20"/>
        </w:rPr>
        <w:t xml:space="preserve"> </w:t>
      </w:r>
      <w:r>
        <w:rPr>
          <w:sz w:val="20"/>
          <w:szCs w:val="20"/>
        </w:rPr>
        <w:t>December 31, 2022 for the next five years and thereafter were as follows (in thousands)</w:t>
      </w:r>
      <w:r>
        <w:rPr>
          <w:sz w:val="20"/>
          <w:szCs w:val="20"/>
        </w:rPr>
        <w:t>:</w:t>
      </w:r>
    </w:p>
    <w:p w:rsidR="00000000" w:rsidRDefault="006D723D">
      <w:pPr>
        <w:pStyle w:val="a3"/>
        <w:spacing w:before="0" w:beforeAutospacing="0" w:after="0" w:afterAutospacing="0"/>
        <w:jc w:val="both"/>
        <w:divId w:val="641467494"/>
        <w:rPr>
          <w:sz w:val="20"/>
          <w:szCs w:val="20"/>
        </w:rPr>
      </w:pP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729"/>
        <w:gridCol w:w="110"/>
        <w:gridCol w:w="160"/>
        <w:gridCol w:w="860"/>
        <w:gridCol w:w="125"/>
      </w:tblGrid>
      <w:tr w:rsidR="00000000">
        <w:trPr>
          <w:divId w:val="641467494"/>
          <w:tblCellSpacing w:w="15" w:type="dxa"/>
        </w:trPr>
        <w:tc>
          <w:tcPr>
            <w:tcW w:w="4000" w:type="pct"/>
            <w:vAlign w:val="center"/>
            <w:hideMark/>
          </w:tcPr>
          <w:p w:rsidR="00000000" w:rsidRDefault="006D723D">
            <w:pPr>
              <w:rPr>
                <w:sz w:val="20"/>
                <w:szCs w:val="20"/>
              </w:rPr>
            </w:pPr>
          </w:p>
        </w:tc>
        <w:tc>
          <w:tcPr>
            <w:tcW w:w="8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81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divId w:val="641467494"/>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202</w:t>
            </w:r>
            <w:r>
              <w:rPr>
                <w:sz w:val="20"/>
                <w:szCs w:val="20"/>
              </w:rPr>
              <w:t>3</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165,52</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641467494"/>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202</w:t>
            </w:r>
            <w:r>
              <w:rPr>
                <w:sz w:val="20"/>
                <w:szCs w:val="20"/>
              </w:rPr>
              <w:t>4</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14,72</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641467494"/>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202</w:t>
            </w:r>
            <w:r>
              <w:rPr>
                <w:sz w:val="20"/>
                <w:szCs w:val="20"/>
              </w:rPr>
              <w:t>5</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17,69</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641467494"/>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202</w:t>
            </w:r>
            <w:r>
              <w:rPr>
                <w:sz w:val="20"/>
                <w:szCs w:val="20"/>
              </w:rPr>
              <w:t>6</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688,56</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641467494"/>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202</w:t>
            </w:r>
            <w:r>
              <w:rPr>
                <w:sz w:val="20"/>
                <w:szCs w:val="20"/>
              </w:rPr>
              <w:t>7</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256,85</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641467494"/>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Thereafte</w:t>
            </w:r>
            <w:r>
              <w:rPr>
                <w:sz w:val="20"/>
                <w:szCs w:val="20"/>
              </w:rPr>
              <w:t>r</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121,15</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641467494"/>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Total deb</w:t>
            </w:r>
            <w:r>
              <w:rPr>
                <w:sz w:val="20"/>
                <w:szCs w:val="20"/>
              </w:rPr>
              <w:t>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1,264,52</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bl>
    <w:p w:rsidR="00000000" w:rsidRDefault="006D723D">
      <w:pPr>
        <w:pStyle w:val="a3"/>
        <w:spacing w:before="0" w:beforeAutospacing="0" w:after="0" w:afterAutospacing="0"/>
        <w:jc w:val="both"/>
        <w:divId w:val="1464732807"/>
        <w:rPr>
          <w:sz w:val="20"/>
          <w:szCs w:val="20"/>
        </w:rPr>
      </w:pPr>
      <w:r>
        <w:rPr>
          <w:sz w:val="20"/>
          <w:szCs w:val="20"/>
        </w:rPr>
        <w:t> </w:t>
      </w:r>
    </w:p>
    <w:p w:rsidR="00000000" w:rsidRDefault="006D723D">
      <w:pPr>
        <w:pStyle w:val="a3"/>
        <w:spacing w:before="0" w:beforeAutospacing="0" w:after="0" w:afterAutospacing="0"/>
        <w:jc w:val="center"/>
        <w:divId w:val="1464732807"/>
        <w:rPr>
          <w:sz w:val="20"/>
          <w:szCs w:val="20"/>
        </w:rPr>
      </w:pPr>
      <w:r>
        <w:rPr>
          <w:sz w:val="20"/>
          <w:szCs w:val="20"/>
        </w:rPr>
        <w:t>F</w:t>
      </w:r>
      <w:r>
        <w:rPr>
          <w:sz w:val="20"/>
          <w:szCs w:val="20"/>
        </w:rPr>
        <w:t>-</w:t>
      </w:r>
      <w:r>
        <w:rPr>
          <w:sz w:val="20"/>
          <w:szCs w:val="20"/>
        </w:rPr>
        <w:t>2</w:t>
      </w:r>
      <w:r>
        <w:rPr>
          <w:sz w:val="20"/>
          <w:szCs w:val="20"/>
        </w:rPr>
        <w:t>7</w:t>
      </w:r>
    </w:p>
    <w:p w:rsidR="00000000" w:rsidRDefault="006D723D">
      <w:pPr>
        <w:divId w:val="1464732807"/>
        <w:rPr>
          <w:rFonts w:eastAsia="Times New Roman"/>
          <w:sz w:val="20"/>
          <w:szCs w:val="20"/>
        </w:rPr>
      </w:pPr>
      <w:r>
        <w:rPr>
          <w:rFonts w:eastAsia="Times New Roman"/>
          <w:sz w:val="20"/>
          <w:szCs w:val="20"/>
        </w:rPr>
        <w:pict>
          <v:rect id="_x0000_i1155" style="width:0;height:1.5pt" o:hralign="center" o:hrstd="t" o:hr="t" fillcolor="#a0a0a0" stroked="f"/>
        </w:pict>
      </w:r>
    </w:p>
    <w:p w:rsidR="00000000" w:rsidRDefault="006D723D">
      <w:pPr>
        <w:pStyle w:val="a3"/>
        <w:spacing w:before="0" w:beforeAutospacing="0" w:after="0" w:afterAutospacing="0"/>
        <w:divId w:val="1464732807"/>
        <w:rPr>
          <w:sz w:val="20"/>
          <w:szCs w:val="20"/>
        </w:rPr>
      </w:pPr>
      <w:r>
        <w:rPr>
          <w:sz w:val="20"/>
          <w:szCs w:val="20"/>
        </w:rPr>
        <w:t> </w:t>
      </w:r>
    </w:p>
    <w:p w:rsidR="00000000" w:rsidRDefault="006D723D">
      <w:pPr>
        <w:pStyle w:val="a3"/>
        <w:spacing w:before="160" w:beforeAutospacing="0" w:after="0" w:afterAutospacing="0"/>
        <w:ind w:left="476"/>
        <w:jc w:val="both"/>
        <w:divId w:val="1464732807"/>
        <w:rPr>
          <w:sz w:val="20"/>
          <w:szCs w:val="20"/>
        </w:rPr>
      </w:pPr>
      <w:r>
        <w:rPr>
          <w:b/>
          <w:bCs/>
          <w:sz w:val="20"/>
          <w:szCs w:val="20"/>
        </w:rPr>
        <w:t>Cross-Default Provision</w:t>
      </w:r>
      <w:r>
        <w:rPr>
          <w:b/>
          <w:bCs/>
          <w:sz w:val="20"/>
          <w:szCs w:val="20"/>
        </w:rPr>
        <w:t>s</w:t>
      </w:r>
    </w:p>
    <w:p w:rsidR="00000000" w:rsidRDefault="006D723D">
      <w:pPr>
        <w:pStyle w:val="a3"/>
        <w:spacing w:before="120" w:beforeAutospacing="0" w:after="0" w:afterAutospacing="0"/>
        <w:ind w:left="476"/>
        <w:jc w:val="both"/>
        <w:divId w:val="1464732807"/>
        <w:rPr>
          <w:sz w:val="20"/>
          <w:szCs w:val="20"/>
        </w:rPr>
      </w:pPr>
      <w:r>
        <w:rPr>
          <w:sz w:val="20"/>
          <w:szCs w:val="20"/>
        </w:rPr>
        <w:t>The provisions of CoreCivic's debt agreements relating to the New Bank Credit Facility and the Senior Notes contain certain cross-default provisions. Any events of default under the New Bank Cr</w:t>
      </w:r>
      <w:r>
        <w:rPr>
          <w:sz w:val="20"/>
          <w:szCs w:val="20"/>
        </w:rPr>
        <w:t>edit Facility that result in the lenders' actual acceleration of amounts outstanding thereunder also result in an event of default under the Senior Notes. Additionally, any events of default under the Senior Notes that give rise to the ability of the holde</w:t>
      </w:r>
      <w:r>
        <w:rPr>
          <w:sz w:val="20"/>
          <w:szCs w:val="20"/>
        </w:rPr>
        <w:t>rs of such indebtedness to exercise their acceleration rights also result in an event of default under the New Bank Credit Facility</w:t>
      </w:r>
      <w:r>
        <w:rPr>
          <w:sz w:val="20"/>
          <w:szCs w:val="20"/>
        </w:rPr>
        <w:t>.</w:t>
      </w:r>
    </w:p>
    <w:p w:rsidR="00000000" w:rsidRDefault="006D723D">
      <w:pPr>
        <w:pStyle w:val="a3"/>
        <w:spacing w:before="240" w:beforeAutospacing="0" w:after="0" w:afterAutospacing="0"/>
        <w:ind w:left="476"/>
        <w:jc w:val="both"/>
        <w:divId w:val="1464732807"/>
        <w:rPr>
          <w:sz w:val="20"/>
          <w:szCs w:val="20"/>
        </w:rPr>
      </w:pPr>
      <w:r>
        <w:rPr>
          <w:sz w:val="20"/>
          <w:szCs w:val="20"/>
        </w:rPr>
        <w:t>If CoreCivic were to be in default under the New Bank Credit Facility, and if the lenders under the New Bank Credit Facilit</w:t>
      </w:r>
      <w:r>
        <w:rPr>
          <w:sz w:val="20"/>
          <w:szCs w:val="20"/>
        </w:rPr>
        <w:t>y elected to exercise their rights to accelerate CoreCivic's obligations under the New Bank Credit Facility, such events could result in the acceleration of all or a portion of CoreCivic's Senior Notes,</w:t>
      </w:r>
      <w:r>
        <w:rPr>
          <w:sz w:val="20"/>
          <w:szCs w:val="20"/>
        </w:rPr>
        <w:t xml:space="preserve"> </w:t>
      </w:r>
      <w:r>
        <w:rPr>
          <w:sz w:val="20"/>
          <w:szCs w:val="20"/>
        </w:rPr>
        <w:t>which would have a material impact on CoreCivic's liq</w:t>
      </w:r>
      <w:r>
        <w:rPr>
          <w:sz w:val="20"/>
          <w:szCs w:val="20"/>
        </w:rPr>
        <w:t>uidity and financial position. CoreCivic does not have sufficient working capital to satisfy its debt obligations in the event of an acceleration of all or a substantial portion of CoreCivic's outstanding indebtedness</w:t>
      </w:r>
      <w:r>
        <w:rPr>
          <w:sz w:val="20"/>
          <w:szCs w:val="20"/>
        </w:rPr>
        <w:t>.</w:t>
      </w:r>
    </w:p>
    <w:p w:rsidR="00000000" w:rsidRDefault="006D723D">
      <w:pPr>
        <w:jc w:val="both"/>
        <w:divId w:val="616839102"/>
        <w:rPr>
          <w:rFonts w:eastAsia="Times New Roman"/>
          <w:sz w:val="20"/>
          <w:szCs w:val="20"/>
        </w:rPr>
      </w:pPr>
      <w:r>
        <w:rPr>
          <w:rFonts w:eastAsia="Times New Roman"/>
          <w:b/>
          <w:bCs/>
          <w:sz w:val="20"/>
          <w:szCs w:val="20"/>
        </w:rPr>
        <w:t>11</w:t>
      </w:r>
      <w:r>
        <w:rPr>
          <w:rFonts w:eastAsia="Times New Roman"/>
          <w:b/>
          <w:bCs/>
          <w:sz w:val="20"/>
          <w:szCs w:val="20"/>
        </w:rPr>
        <w:t>.</w:t>
      </w:r>
    </w:p>
    <w:p w:rsidR="00000000" w:rsidRDefault="006D723D">
      <w:pPr>
        <w:jc w:val="both"/>
        <w:divId w:val="744492334"/>
        <w:rPr>
          <w:rFonts w:eastAsia="Times New Roman"/>
          <w:sz w:val="20"/>
          <w:szCs w:val="20"/>
        </w:rPr>
      </w:pPr>
      <w:r>
        <w:rPr>
          <w:rFonts w:eastAsia="Times New Roman"/>
          <w:b/>
          <w:bCs/>
          <w:sz w:val="20"/>
          <w:szCs w:val="20"/>
        </w:rPr>
        <w:t>DEFERRED REVENU</w:t>
      </w:r>
      <w:r>
        <w:rPr>
          <w:rFonts w:eastAsia="Times New Roman"/>
          <w:b/>
          <w:bCs/>
          <w:sz w:val="20"/>
          <w:szCs w:val="20"/>
        </w:rPr>
        <w:t>E</w:t>
      </w:r>
    </w:p>
    <w:p w:rsidR="00000000" w:rsidRDefault="006D723D">
      <w:pPr>
        <w:pStyle w:val="a3"/>
        <w:spacing w:before="120" w:beforeAutospacing="0" w:after="0" w:afterAutospacing="0"/>
        <w:ind w:left="476"/>
        <w:jc w:val="both"/>
        <w:divId w:val="86394040"/>
        <w:rPr>
          <w:sz w:val="20"/>
          <w:szCs w:val="20"/>
        </w:rPr>
      </w:pPr>
      <w:r>
        <w:rPr>
          <w:sz w:val="20"/>
          <w:szCs w:val="20"/>
        </w:rPr>
        <w:t>In September 2014, CoreCivic announced that it had agreed under an expansion of an existing IGSA between the city of Eloy, Arizona and ICE to care for up to</w:t>
      </w:r>
      <w:r>
        <w:rPr>
          <w:sz w:val="20"/>
          <w:szCs w:val="20"/>
        </w:rPr>
        <w:t xml:space="preserve"> </w:t>
      </w:r>
      <w:r>
        <w:rPr>
          <w:sz w:val="20"/>
          <w:szCs w:val="20"/>
        </w:rPr>
        <w:t>2,40</w:t>
      </w:r>
      <w:r>
        <w:rPr>
          <w:sz w:val="20"/>
          <w:szCs w:val="20"/>
        </w:rPr>
        <w:t>0</w:t>
      </w:r>
      <w:r>
        <w:rPr>
          <w:sz w:val="20"/>
          <w:szCs w:val="20"/>
        </w:rPr>
        <w:t xml:space="preserve"> individuals at the South Texas Family Residential Center, a facility leased by CoreCivic in D</w:t>
      </w:r>
      <w:r>
        <w:rPr>
          <w:sz w:val="20"/>
          <w:szCs w:val="20"/>
        </w:rPr>
        <w:t>illey, Texas. In September 2018, the city of Dilley, Texas assumed the amended IGSA with ICE. Services provided under the original amended IGSA commenced in the fourth quarter of 2014 and had an original term of up to</w:t>
      </w:r>
      <w:r>
        <w:rPr>
          <w:sz w:val="20"/>
          <w:szCs w:val="20"/>
        </w:rPr>
        <w:t xml:space="preserve"> </w:t>
      </w:r>
      <w:r>
        <w:rPr>
          <w:sz w:val="20"/>
          <w:szCs w:val="20"/>
        </w:rPr>
        <w:t>four year</w:t>
      </w:r>
      <w:r>
        <w:rPr>
          <w:sz w:val="20"/>
          <w:szCs w:val="20"/>
        </w:rPr>
        <w:t>s</w:t>
      </w:r>
      <w:r>
        <w:rPr>
          <w:sz w:val="20"/>
          <w:szCs w:val="20"/>
        </w:rPr>
        <w:t>. The agreement provided for</w:t>
      </w:r>
      <w:r>
        <w:rPr>
          <w:sz w:val="20"/>
          <w:szCs w:val="20"/>
        </w:rPr>
        <w:t xml:space="preserve"> a fixed monthly payment in accordance with a graduated schedule. In October 2016, CoreCivic entered into an amended IGSA that provided for a new, lower fixed monthly payment commencing in November 2016, and extended the term of the contract through</w:t>
      </w:r>
      <w:r>
        <w:rPr>
          <w:sz w:val="20"/>
          <w:szCs w:val="20"/>
        </w:rPr>
        <w:t xml:space="preserve"> </w:t>
      </w:r>
      <w:r>
        <w:rPr>
          <w:sz w:val="20"/>
          <w:szCs w:val="20"/>
        </w:rPr>
        <w:t>Septem</w:t>
      </w:r>
      <w:r>
        <w:rPr>
          <w:sz w:val="20"/>
          <w:szCs w:val="20"/>
        </w:rPr>
        <w:t>ber 202</w:t>
      </w:r>
      <w:r>
        <w:rPr>
          <w:sz w:val="20"/>
          <w:szCs w:val="20"/>
        </w:rPr>
        <w:t>1</w:t>
      </w:r>
      <w:r>
        <w:rPr>
          <w:sz w:val="20"/>
          <w:szCs w:val="20"/>
        </w:rPr>
        <w:t>. In September 2020, the term of the amended IGSA was extended from September 2021 to</w:t>
      </w:r>
      <w:r>
        <w:rPr>
          <w:sz w:val="20"/>
          <w:szCs w:val="20"/>
        </w:rPr>
        <w:t xml:space="preserve"> </w:t>
      </w:r>
      <w:r>
        <w:rPr>
          <w:sz w:val="20"/>
          <w:szCs w:val="20"/>
        </w:rPr>
        <w:t>September 202</w:t>
      </w:r>
      <w:r>
        <w:rPr>
          <w:sz w:val="20"/>
          <w:szCs w:val="20"/>
        </w:rPr>
        <w:t>6</w:t>
      </w:r>
      <w:r>
        <w:rPr>
          <w:sz w:val="20"/>
          <w:szCs w:val="20"/>
        </w:rPr>
        <w:t>. The agreement can be further extended by bi-lateral modification</w:t>
      </w:r>
      <w:r>
        <w:rPr>
          <w:sz w:val="20"/>
          <w:szCs w:val="20"/>
        </w:rPr>
        <w:t>.</w:t>
      </w:r>
      <w:r>
        <w:rPr>
          <w:b/>
          <w:bCs/>
          <w:sz w:val="20"/>
          <w:szCs w:val="20"/>
        </w:rPr>
        <w:t xml:space="preserve"> </w:t>
      </w:r>
      <w:r>
        <w:rPr>
          <w:sz w:val="20"/>
          <w:szCs w:val="20"/>
        </w:rPr>
        <w:t>ICE's termination rights, which permit ICE to terminate the agreement for conven</w:t>
      </w:r>
      <w:r>
        <w:rPr>
          <w:sz w:val="20"/>
          <w:szCs w:val="20"/>
        </w:rPr>
        <w:t>ience or non-appropriation of funds, without penalty, by providing CoreCivic with at least a 60-day notice, were unchanged under the extension. ICE began housing the first residents at the facility in December 2014, and the site was completed during the se</w:t>
      </w:r>
      <w:r>
        <w:rPr>
          <w:sz w:val="20"/>
          <w:szCs w:val="20"/>
        </w:rPr>
        <w:t>cond quarter of 2015</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86394040"/>
        <w:rPr>
          <w:sz w:val="20"/>
          <w:szCs w:val="20"/>
        </w:rPr>
      </w:pPr>
      <w:r>
        <w:rPr>
          <w:sz w:val="20"/>
          <w:szCs w:val="20"/>
        </w:rPr>
        <w:t xml:space="preserve">Under the fixed monthly payment schedule of the original amended IGSA, ICE agreed to pay CoreCivic </w:t>
      </w:r>
      <w:r>
        <w:rPr>
          <w:sz w:val="20"/>
          <w:szCs w:val="20"/>
        </w:rPr>
        <w:t>$</w:t>
      </w:r>
      <w:r>
        <w:rPr>
          <w:sz w:val="20"/>
          <w:szCs w:val="20"/>
        </w:rPr>
        <w:t>70.</w:t>
      </w:r>
      <w:r>
        <w:rPr>
          <w:sz w:val="20"/>
          <w:szCs w:val="20"/>
        </w:rPr>
        <w:t>0</w:t>
      </w:r>
      <w:r>
        <w:rPr>
          <w:sz w:val="20"/>
          <w:szCs w:val="20"/>
        </w:rPr>
        <w:t xml:space="preserve"> million in</w:t>
      </w:r>
      <w:r>
        <w:rPr>
          <w:sz w:val="20"/>
          <w:szCs w:val="20"/>
        </w:rPr>
        <w:t xml:space="preserve"> </w:t>
      </w:r>
      <w:r>
        <w:rPr>
          <w:sz w:val="20"/>
          <w:szCs w:val="20"/>
        </w:rPr>
        <w:t>tw</w:t>
      </w:r>
      <w:r>
        <w:rPr>
          <w:sz w:val="20"/>
          <w:szCs w:val="20"/>
        </w:rPr>
        <w:t>o</w:t>
      </w:r>
      <w:r>
        <w:rPr>
          <w:sz w:val="20"/>
          <w:szCs w:val="20"/>
        </w:rPr>
        <w:t xml:space="preserve"> </w:t>
      </w:r>
      <w:r>
        <w:rPr>
          <w:sz w:val="20"/>
          <w:szCs w:val="20"/>
        </w:rPr>
        <w:t>$</w:t>
      </w:r>
      <w:r>
        <w:rPr>
          <w:sz w:val="20"/>
          <w:szCs w:val="20"/>
        </w:rPr>
        <w:t>35.</w:t>
      </w:r>
      <w:r>
        <w:rPr>
          <w:sz w:val="20"/>
          <w:szCs w:val="20"/>
        </w:rPr>
        <w:t>0</w:t>
      </w:r>
      <w:r>
        <w:rPr>
          <w:sz w:val="20"/>
          <w:szCs w:val="20"/>
        </w:rPr>
        <w:t xml:space="preserve"> million installments during the fourth quarter of 2014 and graduated fixed monthly payments over the remain</w:t>
      </w:r>
      <w:r>
        <w:rPr>
          <w:sz w:val="20"/>
          <w:szCs w:val="20"/>
        </w:rPr>
        <w:t xml:space="preserve">ing months of the contract. As a result of extending the amortization period for the deferred revenue associated with the 2020 amended IGSA over the extended term of the agreement, CoreCivic's non-cash revenue associated with the amended IGSA decreased by </w:t>
      </w:r>
      <w:r>
        <w:rPr>
          <w:sz w:val="20"/>
          <w:szCs w:val="20"/>
        </w:rPr>
        <w:t xml:space="preserve">approximately </w:t>
      </w:r>
      <w:r>
        <w:rPr>
          <w:sz w:val="20"/>
          <w:szCs w:val="20"/>
        </w:rPr>
        <w:t>$</w:t>
      </w:r>
      <w:r>
        <w:rPr>
          <w:sz w:val="20"/>
          <w:szCs w:val="20"/>
        </w:rPr>
        <w:t>2.</w:t>
      </w:r>
      <w:r>
        <w:rPr>
          <w:sz w:val="20"/>
          <w:szCs w:val="20"/>
        </w:rPr>
        <w:t>7</w:t>
      </w:r>
      <w:r>
        <w:rPr>
          <w:sz w:val="20"/>
          <w:szCs w:val="20"/>
        </w:rPr>
        <w:t xml:space="preserve"> million per quarter, from </w:t>
      </w:r>
      <w:r>
        <w:rPr>
          <w:sz w:val="20"/>
          <w:szCs w:val="20"/>
        </w:rPr>
        <w:t>$</w:t>
      </w:r>
      <w:r>
        <w:rPr>
          <w:sz w:val="20"/>
          <w:szCs w:val="20"/>
        </w:rPr>
        <w:t>3.</w:t>
      </w:r>
      <w:r>
        <w:rPr>
          <w:sz w:val="20"/>
          <w:szCs w:val="20"/>
        </w:rPr>
        <w:t>4</w:t>
      </w:r>
      <w:r>
        <w:rPr>
          <w:sz w:val="20"/>
          <w:szCs w:val="20"/>
        </w:rPr>
        <w:t xml:space="preserve"> million to </w:t>
      </w:r>
      <w:r>
        <w:rPr>
          <w:sz w:val="20"/>
          <w:szCs w:val="20"/>
        </w:rPr>
        <w:t>$</w:t>
      </w:r>
      <w:r>
        <w:rPr>
          <w:sz w:val="20"/>
          <w:szCs w:val="20"/>
        </w:rPr>
        <w:t>0.</w:t>
      </w:r>
      <w:r>
        <w:rPr>
          <w:sz w:val="20"/>
          <w:szCs w:val="20"/>
        </w:rPr>
        <w:t>7</w:t>
      </w:r>
      <w:r>
        <w:rPr>
          <w:sz w:val="20"/>
          <w:szCs w:val="20"/>
        </w:rPr>
        <w:t xml:space="preserve"> million, effective beginning in the fourth quarter of 2020. During the years ended December 31, 2022, 2021, and 2020, CoreCivic recognized </w:t>
      </w:r>
      <w:r>
        <w:rPr>
          <w:sz w:val="20"/>
          <w:szCs w:val="20"/>
        </w:rPr>
        <w:t>$</w:t>
      </w:r>
      <w:r>
        <w:rPr>
          <w:sz w:val="20"/>
          <w:szCs w:val="20"/>
        </w:rPr>
        <w:t>156.</w:t>
      </w:r>
      <w:r>
        <w:rPr>
          <w:sz w:val="20"/>
          <w:szCs w:val="20"/>
        </w:rPr>
        <w:t>1</w:t>
      </w:r>
      <w:r>
        <w:rPr>
          <w:sz w:val="20"/>
          <w:szCs w:val="20"/>
        </w:rPr>
        <w:t xml:space="preserve"> million, </w:t>
      </w:r>
      <w:r>
        <w:rPr>
          <w:sz w:val="20"/>
          <w:szCs w:val="20"/>
        </w:rPr>
        <w:t>$</w:t>
      </w:r>
      <w:r>
        <w:rPr>
          <w:sz w:val="20"/>
          <w:szCs w:val="20"/>
        </w:rPr>
        <w:t>159.</w:t>
      </w:r>
      <w:r>
        <w:rPr>
          <w:sz w:val="20"/>
          <w:szCs w:val="20"/>
        </w:rPr>
        <w:t>7</w:t>
      </w:r>
      <w:r>
        <w:rPr>
          <w:sz w:val="20"/>
          <w:szCs w:val="20"/>
        </w:rPr>
        <w:t xml:space="preserve"> million, and </w:t>
      </w:r>
      <w:r>
        <w:rPr>
          <w:sz w:val="20"/>
          <w:szCs w:val="20"/>
        </w:rPr>
        <w:t>$</w:t>
      </w:r>
      <w:r>
        <w:rPr>
          <w:sz w:val="20"/>
          <w:szCs w:val="20"/>
        </w:rPr>
        <w:t>167.</w:t>
      </w:r>
      <w:r>
        <w:rPr>
          <w:sz w:val="20"/>
          <w:szCs w:val="20"/>
        </w:rPr>
        <w:t>7</w:t>
      </w:r>
      <w:r>
        <w:rPr>
          <w:sz w:val="20"/>
          <w:szCs w:val="20"/>
        </w:rPr>
        <w:t xml:space="preserve"> million,</w:t>
      </w:r>
      <w:r>
        <w:rPr>
          <w:sz w:val="20"/>
          <w:szCs w:val="20"/>
        </w:rPr>
        <w:t xml:space="preserve"> respectively, in revenue associated with the amended IGSA with the unrecognized balance of the fixed monthly payments reported in deferred revenue. The current portion of deferred revenue is reflected within accounts payable and accrued expenses while the</w:t>
      </w:r>
      <w:r>
        <w:rPr>
          <w:sz w:val="20"/>
          <w:szCs w:val="20"/>
        </w:rPr>
        <w:t xml:space="preserve"> long-term portion is reflected in deferred revenue on the accompanying consolidated balance sheets. As of December 31, 2022 and 2021, total deferred revenue associated with this agreement amounted to</w:t>
      </w:r>
      <w:r>
        <w:rPr>
          <w:sz w:val="20"/>
          <w:szCs w:val="20"/>
        </w:rPr>
        <w:t xml:space="preserve"> </w:t>
      </w:r>
      <w:r>
        <w:rPr>
          <w:sz w:val="20"/>
          <w:szCs w:val="20"/>
        </w:rPr>
        <w:t>$</w:t>
      </w:r>
      <w:r>
        <w:rPr>
          <w:sz w:val="20"/>
          <w:szCs w:val="20"/>
        </w:rPr>
        <w:t>9.</w:t>
      </w:r>
      <w:r>
        <w:rPr>
          <w:sz w:val="20"/>
          <w:szCs w:val="20"/>
        </w:rPr>
        <w:t>9</w:t>
      </w:r>
      <w:r>
        <w:rPr>
          <w:sz w:val="20"/>
          <w:szCs w:val="20"/>
        </w:rPr>
        <w:t xml:space="preserve"> millio</w:t>
      </w:r>
      <w:r>
        <w:rPr>
          <w:sz w:val="20"/>
          <w:szCs w:val="20"/>
        </w:rPr>
        <w:t>n</w:t>
      </w:r>
      <w:r>
        <w:rPr>
          <w:sz w:val="20"/>
          <w:szCs w:val="20"/>
        </w:rPr>
        <w:t xml:space="preserve"> and </w:t>
      </w:r>
      <w:r>
        <w:rPr>
          <w:sz w:val="20"/>
          <w:szCs w:val="20"/>
        </w:rPr>
        <w:t>$</w:t>
      </w:r>
      <w:r>
        <w:rPr>
          <w:sz w:val="20"/>
          <w:szCs w:val="20"/>
        </w:rPr>
        <w:t>12.</w:t>
      </w:r>
      <w:r>
        <w:rPr>
          <w:sz w:val="20"/>
          <w:szCs w:val="20"/>
        </w:rPr>
        <w:t>6</w:t>
      </w:r>
      <w:r>
        <w:rPr>
          <w:sz w:val="20"/>
          <w:szCs w:val="20"/>
        </w:rPr>
        <w:t xml:space="preserve"> million, respectively</w:t>
      </w:r>
      <w:r>
        <w:rPr>
          <w:sz w:val="20"/>
          <w:szCs w:val="20"/>
        </w:rPr>
        <w:t>.</w:t>
      </w:r>
      <w:r>
        <w:rPr>
          <w:sz w:val="20"/>
          <w:szCs w:val="20"/>
        </w:rPr>
        <w:t xml:space="preserve"> </w:t>
      </w:r>
    </w:p>
    <w:p w:rsidR="00000000" w:rsidRDefault="006D723D">
      <w:pPr>
        <w:jc w:val="both"/>
        <w:divId w:val="1491292215"/>
        <w:rPr>
          <w:rFonts w:eastAsia="Times New Roman"/>
        </w:rPr>
      </w:pPr>
      <w:r>
        <w:rPr>
          <w:rFonts w:eastAsia="Times New Roman"/>
          <w:b/>
          <w:bCs/>
          <w:sz w:val="20"/>
          <w:szCs w:val="20"/>
        </w:rPr>
        <w:t>12</w:t>
      </w:r>
      <w:r>
        <w:rPr>
          <w:rFonts w:eastAsia="Times New Roman"/>
          <w:b/>
          <w:bCs/>
          <w:sz w:val="20"/>
          <w:szCs w:val="20"/>
        </w:rPr>
        <w:t>.</w:t>
      </w:r>
    </w:p>
    <w:p w:rsidR="00000000" w:rsidRDefault="006D723D">
      <w:pPr>
        <w:jc w:val="both"/>
        <w:divId w:val="1638144394"/>
        <w:rPr>
          <w:rFonts w:eastAsia="Times New Roman"/>
        </w:rPr>
      </w:pPr>
      <w:r>
        <w:rPr>
          <w:rFonts w:eastAsia="Times New Roman"/>
          <w:b/>
          <w:bCs/>
          <w:sz w:val="20"/>
          <w:szCs w:val="20"/>
        </w:rPr>
        <w:t>INCO</w:t>
      </w:r>
      <w:r>
        <w:rPr>
          <w:rFonts w:eastAsia="Times New Roman"/>
          <w:b/>
          <w:bCs/>
          <w:sz w:val="20"/>
          <w:szCs w:val="20"/>
        </w:rPr>
        <w:t>ME TAXE</w:t>
      </w:r>
      <w:r>
        <w:rPr>
          <w:rFonts w:eastAsia="Times New Roman"/>
          <w:b/>
          <w:bCs/>
          <w:sz w:val="20"/>
          <w:szCs w:val="20"/>
        </w:rPr>
        <w:t>S</w:t>
      </w:r>
    </w:p>
    <w:p w:rsidR="00000000" w:rsidRDefault="006D723D">
      <w:pPr>
        <w:pStyle w:val="a3"/>
        <w:spacing w:before="120" w:beforeAutospacing="0" w:after="0" w:afterAutospacing="0"/>
        <w:ind w:left="476"/>
        <w:jc w:val="both"/>
        <w:divId w:val="359664538"/>
        <w:rPr>
          <w:sz w:val="20"/>
          <w:szCs w:val="20"/>
        </w:rPr>
      </w:pPr>
      <w:r>
        <w:rPr>
          <w:sz w:val="20"/>
          <w:szCs w:val="20"/>
        </w:rPr>
        <w:t>As discussed in Note 1, the Company operated in compliance with REIT requirements for federal income tax purposes from January 1, 2013 through December 31, 2020. During the years the Company elected REIT status, the Company was required to distrib</w:t>
      </w:r>
      <w:r>
        <w:rPr>
          <w:sz w:val="20"/>
          <w:szCs w:val="20"/>
        </w:rPr>
        <w:t>ute at least</w:t>
      </w:r>
      <w:r>
        <w:rPr>
          <w:sz w:val="20"/>
          <w:szCs w:val="20"/>
        </w:rPr>
        <w:t xml:space="preserve"> </w:t>
      </w:r>
      <w:r>
        <w:rPr>
          <w:sz w:val="20"/>
          <w:szCs w:val="20"/>
        </w:rPr>
        <w:t>9</w:t>
      </w:r>
      <w:r>
        <w:rPr>
          <w:sz w:val="20"/>
          <w:szCs w:val="20"/>
        </w:rPr>
        <w:t>0</w:t>
      </w:r>
      <w:r>
        <w:rPr>
          <w:sz w:val="20"/>
          <w:szCs w:val="20"/>
        </w:rPr>
        <w:t>% of its taxable income (including dividends paid to it by its TRSs) and did not pay federal income taxes on the amount distributed to its stockholders. In addition, the Company was required to meet a number of other organizational and opera</w:t>
      </w:r>
      <w:r>
        <w:rPr>
          <w:sz w:val="20"/>
          <w:szCs w:val="20"/>
        </w:rPr>
        <w:t>tional requirements, which the Company continued to meet through the year ended December 31, 2020. Most states where CoreCivic holds investments in real estate conform to the federal rules recognizing REITs. Certain subsidiaries made an election with the C</w:t>
      </w:r>
      <w:r>
        <w:rPr>
          <w:sz w:val="20"/>
          <w:szCs w:val="20"/>
        </w:rPr>
        <w:t xml:space="preserve">ompany to be treated as TRSs in conjunction with the Company's REIT election. The TRS elections permitted CoreCivic to engage in certain business activities in which the REIT could not engage directly. A TRS is subject to federal and state income taxes on </w:t>
      </w:r>
      <w:r>
        <w:rPr>
          <w:sz w:val="20"/>
          <w:szCs w:val="20"/>
        </w:rPr>
        <w:t>the income from these activities and therefore, CoreCivic included a provision for taxes in its consolidated financial statements even during periods it operated as a REIT</w:t>
      </w:r>
      <w:r>
        <w:rPr>
          <w:sz w:val="20"/>
          <w:szCs w:val="20"/>
        </w:rPr>
        <w:t>.</w:t>
      </w:r>
    </w:p>
    <w:p w:rsidR="00000000" w:rsidRDefault="006D723D">
      <w:pPr>
        <w:pStyle w:val="a3"/>
        <w:spacing w:before="0" w:beforeAutospacing="0" w:after="0" w:afterAutospacing="0"/>
        <w:jc w:val="center"/>
        <w:divId w:val="359664538"/>
        <w:rPr>
          <w:sz w:val="20"/>
          <w:szCs w:val="20"/>
        </w:rPr>
      </w:pPr>
      <w:r>
        <w:rPr>
          <w:sz w:val="20"/>
          <w:szCs w:val="20"/>
        </w:rPr>
        <w:t>F</w:t>
      </w:r>
      <w:r>
        <w:rPr>
          <w:sz w:val="20"/>
          <w:szCs w:val="20"/>
        </w:rPr>
        <w:t>-</w:t>
      </w:r>
      <w:r>
        <w:rPr>
          <w:sz w:val="20"/>
          <w:szCs w:val="20"/>
        </w:rPr>
        <w:t>2</w:t>
      </w:r>
      <w:r>
        <w:rPr>
          <w:sz w:val="20"/>
          <w:szCs w:val="20"/>
        </w:rPr>
        <w:t>8</w:t>
      </w:r>
    </w:p>
    <w:p w:rsidR="00000000" w:rsidRDefault="006D723D">
      <w:pPr>
        <w:divId w:val="359664538"/>
        <w:rPr>
          <w:rFonts w:eastAsia="Times New Roman"/>
        </w:rPr>
      </w:pPr>
      <w:r>
        <w:rPr>
          <w:rFonts w:eastAsia="Times New Roman"/>
        </w:rPr>
        <w:pict>
          <v:rect id="_x0000_i1156" style="width:0;height:1.5pt" o:hralign="center" o:hrstd="t" o:hr="t" fillcolor="#a0a0a0" stroked="f"/>
        </w:pict>
      </w:r>
    </w:p>
    <w:p w:rsidR="00000000" w:rsidRDefault="006D723D">
      <w:pPr>
        <w:pStyle w:val="a3"/>
        <w:spacing w:before="0" w:beforeAutospacing="0" w:after="0" w:afterAutospacing="0"/>
        <w:divId w:val="359664538"/>
        <w:rPr>
          <w:sz w:val="20"/>
          <w:szCs w:val="20"/>
        </w:rPr>
      </w:pPr>
      <w:r>
        <w:rPr>
          <w:sz w:val="20"/>
          <w:szCs w:val="20"/>
        </w:rPr>
        <w:t> </w:t>
      </w:r>
    </w:p>
    <w:p w:rsidR="00000000" w:rsidRDefault="006D723D">
      <w:pPr>
        <w:pStyle w:val="a3"/>
        <w:spacing w:before="240" w:beforeAutospacing="0" w:after="0" w:afterAutospacing="0"/>
        <w:ind w:left="476"/>
        <w:jc w:val="both"/>
        <w:divId w:val="359664538"/>
        <w:rPr>
          <w:sz w:val="20"/>
          <w:szCs w:val="20"/>
        </w:rPr>
      </w:pPr>
      <w:r>
        <w:rPr>
          <w:sz w:val="20"/>
          <w:szCs w:val="20"/>
        </w:rPr>
        <w:t>On August 5, 2020, the Company announced</w:t>
      </w:r>
      <w:r>
        <w:rPr>
          <w:sz w:val="20"/>
          <w:szCs w:val="20"/>
        </w:rPr>
        <w:t xml:space="preserve"> that the BOD unanimously approved a plan to revoke its REIT election and become a taxable C Corporation, effective January 1, 2021. As a result, the Company is no longer required to operate under REIT rules, including the requirement to distribute at leas</w:t>
      </w:r>
      <w:r>
        <w:rPr>
          <w:sz w:val="20"/>
          <w:szCs w:val="20"/>
        </w:rPr>
        <w:t>t</w:t>
      </w:r>
      <w:r>
        <w:rPr>
          <w:sz w:val="20"/>
          <w:szCs w:val="20"/>
        </w:rPr>
        <w:t xml:space="preserve"> </w:t>
      </w:r>
      <w:r>
        <w:rPr>
          <w:sz w:val="20"/>
          <w:szCs w:val="20"/>
        </w:rPr>
        <w:t>9</w:t>
      </w:r>
      <w:r>
        <w:rPr>
          <w:sz w:val="20"/>
          <w:szCs w:val="20"/>
        </w:rPr>
        <w:t>0</w:t>
      </w:r>
      <w:r>
        <w:rPr>
          <w:sz w:val="20"/>
          <w:szCs w:val="20"/>
        </w:rPr>
        <w:t xml:space="preserve">% of its taxable income to its stockholders, which provides the Company with greater flexibility to use its free cash flow. Effective January 1, 2021, the Company became subject to federal and state income taxes on its taxable income at applicable tax </w:t>
      </w:r>
      <w:r>
        <w:rPr>
          <w:sz w:val="20"/>
          <w:szCs w:val="20"/>
        </w:rPr>
        <w:t>rates and is no longer entitled to a tax deduction for dividends paid</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359664538"/>
        <w:rPr>
          <w:sz w:val="20"/>
          <w:szCs w:val="20"/>
        </w:rPr>
      </w:pPr>
      <w:r>
        <w:rPr>
          <w:sz w:val="20"/>
          <w:szCs w:val="20"/>
        </w:rPr>
        <w:t>During the years in which the Company elected REIT status, CoreCivic was entitled to a deduction for dividends paid, resulting in a substantial reduction in the amount of the REIT's fe</w:t>
      </w:r>
      <w:r>
        <w:rPr>
          <w:sz w:val="20"/>
          <w:szCs w:val="20"/>
        </w:rPr>
        <w:t xml:space="preserve">deral income tax expense. During those years, substantially all of CoreCivic's income tax expense was incurred based on the earnings generated by its TRSs. CoreCivic recorded an income tax expense of </w:t>
      </w:r>
      <w:r>
        <w:rPr>
          <w:sz w:val="20"/>
          <w:szCs w:val="20"/>
        </w:rPr>
        <w:t>$</w:t>
      </w:r>
      <w:r>
        <w:rPr>
          <w:sz w:val="20"/>
          <w:szCs w:val="20"/>
        </w:rPr>
        <w:t>43.</w:t>
      </w:r>
      <w:r>
        <w:rPr>
          <w:sz w:val="20"/>
          <w:szCs w:val="20"/>
        </w:rPr>
        <w:t>0</w:t>
      </w:r>
      <w:r>
        <w:rPr>
          <w:sz w:val="20"/>
          <w:szCs w:val="20"/>
        </w:rPr>
        <w:t xml:space="preserve"> million, </w:t>
      </w:r>
      <w:r>
        <w:rPr>
          <w:sz w:val="20"/>
          <w:szCs w:val="20"/>
        </w:rPr>
        <w:t>$</w:t>
      </w:r>
      <w:r>
        <w:rPr>
          <w:sz w:val="20"/>
          <w:szCs w:val="20"/>
        </w:rPr>
        <w:t>138.</w:t>
      </w:r>
      <w:r>
        <w:rPr>
          <w:sz w:val="20"/>
          <w:szCs w:val="20"/>
        </w:rPr>
        <w:t>0</w:t>
      </w:r>
      <w:r>
        <w:rPr>
          <w:sz w:val="20"/>
          <w:szCs w:val="20"/>
        </w:rPr>
        <w:t xml:space="preserve"> million, and </w:t>
      </w:r>
      <w:r>
        <w:rPr>
          <w:sz w:val="20"/>
          <w:szCs w:val="20"/>
        </w:rPr>
        <w:t>$</w:t>
      </w:r>
      <w:r>
        <w:rPr>
          <w:sz w:val="20"/>
          <w:szCs w:val="20"/>
        </w:rPr>
        <w:t>4.</w:t>
      </w:r>
      <w:r>
        <w:rPr>
          <w:sz w:val="20"/>
          <w:szCs w:val="20"/>
        </w:rPr>
        <w:t>4</w:t>
      </w:r>
      <w:r>
        <w:rPr>
          <w:sz w:val="20"/>
          <w:szCs w:val="20"/>
        </w:rPr>
        <w:t xml:space="preserve"> million for the </w:t>
      </w:r>
      <w:r>
        <w:rPr>
          <w:sz w:val="20"/>
          <w:szCs w:val="20"/>
        </w:rPr>
        <w:t xml:space="preserve">years ended December 31, 2022, 2021 and 2020, respectively. Income tax expense during 2021 included </w:t>
      </w:r>
      <w:r>
        <w:rPr>
          <w:sz w:val="20"/>
          <w:szCs w:val="20"/>
        </w:rPr>
        <w:t>$</w:t>
      </w:r>
      <w:r>
        <w:rPr>
          <w:sz w:val="20"/>
          <w:szCs w:val="20"/>
        </w:rPr>
        <w:t>114.</w:t>
      </w:r>
      <w:r>
        <w:rPr>
          <w:sz w:val="20"/>
          <w:szCs w:val="20"/>
        </w:rPr>
        <w:t>2</w:t>
      </w:r>
      <w:r>
        <w:rPr>
          <w:sz w:val="20"/>
          <w:szCs w:val="20"/>
        </w:rPr>
        <w:t xml:space="preserve"> million primarily resulting from the revaluation of the Company's net deferred tax liabilities due to the completion of all significant actions neces</w:t>
      </w:r>
      <w:r>
        <w:rPr>
          <w:sz w:val="20"/>
          <w:szCs w:val="20"/>
        </w:rPr>
        <w:t xml:space="preserve">sary to revoke its REIT election. No catch-up tax payments or penalties resulted from the revocation of the Company's REIT election. Income tax expense during 2020 included </w:t>
      </w:r>
      <w:r>
        <w:rPr>
          <w:sz w:val="20"/>
          <w:szCs w:val="20"/>
        </w:rPr>
        <w:t>$</w:t>
      </w:r>
      <w:r>
        <w:rPr>
          <w:sz w:val="20"/>
          <w:szCs w:val="20"/>
        </w:rPr>
        <w:t>3.</w:t>
      </w:r>
      <w:r>
        <w:rPr>
          <w:sz w:val="20"/>
          <w:szCs w:val="20"/>
        </w:rPr>
        <w:t>1</w:t>
      </w:r>
      <w:r>
        <w:rPr>
          <w:sz w:val="20"/>
          <w:szCs w:val="20"/>
        </w:rPr>
        <w:t xml:space="preserve"> million that had been deferred during the construction period of the Lansing C</w:t>
      </w:r>
      <w:r>
        <w:rPr>
          <w:sz w:val="20"/>
          <w:szCs w:val="20"/>
        </w:rPr>
        <w:t>orrectional Facility, which was owned by a TRS of the Company until it converted to a qualified REIT subsidiary ("QRS") upon completion of construction in the first quarter of 2020. Because ownership of this facility reverts to the state of Kansas upon exp</w:t>
      </w:r>
      <w:r>
        <w:rPr>
          <w:sz w:val="20"/>
          <w:szCs w:val="20"/>
        </w:rPr>
        <w:t>iration of the</w:t>
      </w:r>
      <w:r>
        <w:rPr>
          <w:sz w:val="20"/>
          <w:szCs w:val="20"/>
        </w:rPr>
        <w:t xml:space="preserve"> </w:t>
      </w:r>
      <w:r>
        <w:rPr>
          <w:sz w:val="20"/>
          <w:szCs w:val="20"/>
        </w:rPr>
        <w:t>twenty-yea</w:t>
      </w:r>
      <w:r>
        <w:rPr>
          <w:sz w:val="20"/>
          <w:szCs w:val="20"/>
        </w:rPr>
        <w:t>r</w:t>
      </w:r>
      <w:r>
        <w:rPr>
          <w:sz w:val="20"/>
          <w:szCs w:val="20"/>
        </w:rPr>
        <w:t xml:space="preserve"> lease, the construction and subsequent lease of the facility to the State was a deemed sale for federal and state income tax purposes. The gain on sale was reported as a deferred tax asset based on the percentage of completion me</w:t>
      </w:r>
      <w:r>
        <w:rPr>
          <w:sz w:val="20"/>
          <w:szCs w:val="20"/>
        </w:rPr>
        <w:t>thod over the construction period. This deferred tax asset was revalued to</w:t>
      </w:r>
      <w:r>
        <w:rPr>
          <w:sz w:val="20"/>
          <w:szCs w:val="20"/>
        </w:rPr>
        <w:t xml:space="preserve"> </w:t>
      </w:r>
      <w:r>
        <w:rPr>
          <w:sz w:val="20"/>
          <w:szCs w:val="20"/>
        </w:rPr>
        <w:t>zer</w:t>
      </w:r>
      <w:r>
        <w:rPr>
          <w:sz w:val="20"/>
          <w:szCs w:val="20"/>
        </w:rPr>
        <w:t>o</w:t>
      </w:r>
      <w:r>
        <w:rPr>
          <w:sz w:val="20"/>
          <w:szCs w:val="20"/>
        </w:rPr>
        <w:t xml:space="preserve"> upon conversion of the TRS to a QRS</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850027896"/>
        <w:rPr>
          <w:sz w:val="20"/>
          <w:szCs w:val="20"/>
        </w:rPr>
      </w:pPr>
      <w:r>
        <w:rPr>
          <w:sz w:val="20"/>
          <w:szCs w:val="20"/>
        </w:rPr>
        <w:t>Income tax expense (benefit) is comprised of the following components (in thousands)</w:t>
      </w:r>
      <w:r>
        <w:rPr>
          <w:sz w:val="20"/>
          <w:szCs w:val="20"/>
        </w:rPr>
        <w:t>:</w:t>
      </w:r>
    </w:p>
    <w:p w:rsidR="00000000" w:rsidRDefault="006D723D">
      <w:pPr>
        <w:pStyle w:val="a3"/>
        <w:spacing w:before="0" w:beforeAutospacing="0" w:after="0" w:afterAutospacing="0"/>
        <w:jc w:val="both"/>
        <w:divId w:val="850027896"/>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489"/>
        <w:gridCol w:w="110"/>
        <w:gridCol w:w="160"/>
        <w:gridCol w:w="660"/>
        <w:gridCol w:w="127"/>
        <w:gridCol w:w="110"/>
        <w:gridCol w:w="160"/>
        <w:gridCol w:w="710"/>
        <w:gridCol w:w="110"/>
        <w:gridCol w:w="110"/>
        <w:gridCol w:w="160"/>
        <w:gridCol w:w="597"/>
        <w:gridCol w:w="142"/>
      </w:tblGrid>
      <w:tr w:rsidR="00000000">
        <w:trPr>
          <w:divId w:val="850027896"/>
          <w:tblCellSpacing w:w="15" w:type="dxa"/>
        </w:trPr>
        <w:tc>
          <w:tcPr>
            <w:tcW w:w="2798" w:type="pct"/>
            <w:vAlign w:val="center"/>
            <w:hideMark/>
          </w:tcPr>
          <w:p w:rsidR="00000000" w:rsidRDefault="006D723D">
            <w:pPr>
              <w:rPr>
                <w:sz w:val="20"/>
                <w:szCs w:val="20"/>
              </w:rPr>
            </w:pPr>
          </w:p>
        </w:tc>
        <w:tc>
          <w:tcPr>
            <w:tcW w:w="71"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6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7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51"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7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6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divId w:val="850027896"/>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6D723D">
            <w:pPr>
              <w:pStyle w:val="a3"/>
              <w:spacing w:before="0" w:beforeAutospacing="0" w:after="0" w:afterAutospacing="0"/>
              <w:jc w:val="center"/>
              <w:rPr>
                <w:sz w:val="16"/>
                <w:szCs w:val="16"/>
              </w:rPr>
            </w:pPr>
            <w:r>
              <w:rPr>
                <w:b/>
                <w:bCs/>
                <w:sz w:val="16"/>
                <w:szCs w:val="16"/>
              </w:rPr>
              <w:t>For the Years Ended December 31</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850027896"/>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850027896"/>
          <w:trHeight w:val="200"/>
          <w:tblCellSpacing w:w="15" w:type="dxa"/>
        </w:trPr>
        <w:tc>
          <w:tcPr>
            <w:tcW w:w="0" w:type="auto"/>
            <w:hideMark/>
          </w:tcPr>
          <w:p w:rsidR="00000000" w:rsidRDefault="006D723D">
            <w:pPr>
              <w:pStyle w:val="a3"/>
              <w:spacing w:before="0" w:beforeAutospacing="0" w:after="0" w:afterAutospacing="0"/>
              <w:rPr>
                <w:sz w:val="20"/>
                <w:szCs w:val="20"/>
              </w:rPr>
            </w:pPr>
            <w:r>
              <w:rPr>
                <w:b/>
                <w:bCs/>
                <w:sz w:val="20"/>
                <w:szCs w:val="20"/>
              </w:rPr>
              <w:t>Current income tax expense (benefit</w:t>
            </w: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divId w:val="850027896"/>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Federa</w:t>
            </w:r>
            <w:r>
              <w:rPr>
                <w:sz w:val="20"/>
                <w:szCs w:val="20"/>
              </w:rPr>
              <w:t>l</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25,68</w:t>
            </w:r>
            <w:r>
              <w:rPr>
                <w:b/>
                <w:bCs/>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32,13</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1,92</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divId w:val="850027896"/>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Stat</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5,84</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6,59</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1,36</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850027896"/>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31,52</w:t>
            </w:r>
            <w:r>
              <w:rPr>
                <w:b/>
                <w:bCs/>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38,72</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55</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divId w:val="850027896"/>
          <w:trHeight w:val="200"/>
          <w:tblCellSpacing w:w="15" w:type="dxa"/>
        </w:trPr>
        <w:tc>
          <w:tcPr>
            <w:tcW w:w="0" w:type="auto"/>
            <w:hideMark/>
          </w:tcPr>
          <w:p w:rsidR="00000000" w:rsidRDefault="006D723D">
            <w:pPr>
              <w:pStyle w:val="a3"/>
              <w:spacing w:before="0" w:beforeAutospacing="0" w:after="0" w:afterAutospacing="0"/>
              <w:rPr>
                <w:sz w:val="20"/>
                <w:szCs w:val="20"/>
              </w:rPr>
            </w:pPr>
            <w:r>
              <w:rPr>
                <w:b/>
                <w:bCs/>
                <w:sz w:val="20"/>
                <w:szCs w:val="20"/>
              </w:rPr>
              <w:t>Deferred income tax expense (benefit</w:t>
            </w: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divId w:val="850027896"/>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Federa</w:t>
            </w:r>
            <w:r>
              <w:rPr>
                <w:sz w:val="20"/>
                <w:szCs w:val="20"/>
              </w:rPr>
              <w:t>l</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11,48</w:t>
            </w:r>
            <w:r>
              <w:rPr>
                <w:b/>
                <w:bCs/>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86,70</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3,87</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850027896"/>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Stat</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2</w:t>
            </w:r>
            <w:r>
              <w:rPr>
                <w:b/>
                <w:bCs/>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12,56</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1,06</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850027896"/>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11,46</w:t>
            </w:r>
            <w:r>
              <w:rPr>
                <w:b/>
                <w:bCs/>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99,27</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4,94</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850027896"/>
          <w:trHeight w:val="200"/>
          <w:tblCellSpacing w:w="15" w:type="dxa"/>
        </w:trPr>
        <w:tc>
          <w:tcPr>
            <w:tcW w:w="0" w:type="auto"/>
            <w:hideMark/>
          </w:tcPr>
          <w:p w:rsidR="00000000" w:rsidRDefault="006D723D">
            <w:pPr>
              <w:pStyle w:val="a3"/>
              <w:spacing w:before="0" w:beforeAutospacing="0" w:after="0" w:afterAutospacing="0"/>
              <w:rPr>
                <w:sz w:val="20"/>
                <w:szCs w:val="20"/>
              </w:rPr>
            </w:pPr>
            <w:r>
              <w:rPr>
                <w:b/>
                <w:bCs/>
                <w:sz w:val="20"/>
                <w:szCs w:val="20"/>
              </w:rPr>
              <w:t>Income tax expens</w:t>
            </w:r>
            <w:r>
              <w:rPr>
                <w:b/>
                <w:bCs/>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42,98</w:t>
            </w:r>
            <w:r>
              <w:rPr>
                <w:b/>
                <w:bCs/>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137,99</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4,38</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bl>
    <w:p w:rsidR="00000000" w:rsidRDefault="006D723D">
      <w:pPr>
        <w:pStyle w:val="a3"/>
        <w:spacing w:before="0" w:beforeAutospacing="0" w:after="0" w:afterAutospacing="0"/>
        <w:jc w:val="both"/>
        <w:divId w:val="359664538"/>
        <w:rPr>
          <w:sz w:val="20"/>
          <w:szCs w:val="20"/>
        </w:rPr>
      </w:pPr>
      <w:r>
        <w:rPr>
          <w:sz w:val="20"/>
          <w:szCs w:val="20"/>
        </w:rPr>
        <w:t> </w:t>
      </w:r>
    </w:p>
    <w:p w:rsidR="00000000" w:rsidRDefault="006D723D">
      <w:pPr>
        <w:pStyle w:val="a3"/>
        <w:spacing w:before="0" w:beforeAutospacing="0" w:after="0" w:afterAutospacing="0"/>
        <w:jc w:val="center"/>
        <w:divId w:val="359664538"/>
        <w:rPr>
          <w:sz w:val="20"/>
          <w:szCs w:val="20"/>
        </w:rPr>
      </w:pPr>
      <w:r>
        <w:rPr>
          <w:sz w:val="20"/>
          <w:szCs w:val="20"/>
        </w:rPr>
        <w:t>F</w:t>
      </w:r>
      <w:r>
        <w:rPr>
          <w:sz w:val="20"/>
          <w:szCs w:val="20"/>
        </w:rPr>
        <w:t>-</w:t>
      </w:r>
      <w:r>
        <w:rPr>
          <w:sz w:val="20"/>
          <w:szCs w:val="20"/>
        </w:rPr>
        <w:t>2</w:t>
      </w:r>
      <w:r>
        <w:rPr>
          <w:sz w:val="20"/>
          <w:szCs w:val="20"/>
        </w:rPr>
        <w:t>9</w:t>
      </w:r>
    </w:p>
    <w:p w:rsidR="00000000" w:rsidRDefault="006D723D">
      <w:pPr>
        <w:divId w:val="359664538"/>
        <w:rPr>
          <w:rFonts w:eastAsia="Times New Roman"/>
        </w:rPr>
      </w:pPr>
      <w:r>
        <w:rPr>
          <w:rFonts w:eastAsia="Times New Roman"/>
        </w:rPr>
        <w:pict>
          <v:rect id="_x0000_i1157" style="width:0;height:1.5pt" o:hralign="center" o:hrstd="t" o:hr="t" fillcolor="#a0a0a0" stroked="f"/>
        </w:pict>
      </w:r>
    </w:p>
    <w:p w:rsidR="00000000" w:rsidRDefault="006D723D">
      <w:pPr>
        <w:pStyle w:val="a3"/>
        <w:spacing w:before="0" w:beforeAutospacing="0" w:after="0" w:afterAutospacing="0"/>
        <w:divId w:val="359664538"/>
        <w:rPr>
          <w:sz w:val="20"/>
          <w:szCs w:val="20"/>
        </w:rPr>
      </w:pPr>
      <w:r>
        <w:rPr>
          <w:sz w:val="20"/>
          <w:szCs w:val="20"/>
        </w:rPr>
        <w:t> </w:t>
      </w:r>
    </w:p>
    <w:p w:rsidR="00000000" w:rsidRDefault="006D723D">
      <w:pPr>
        <w:pStyle w:val="a3"/>
        <w:spacing w:before="240" w:beforeAutospacing="0" w:after="0" w:afterAutospacing="0"/>
        <w:ind w:left="476"/>
        <w:jc w:val="both"/>
        <w:divId w:val="1839692458"/>
        <w:rPr>
          <w:sz w:val="20"/>
          <w:szCs w:val="20"/>
        </w:rPr>
      </w:pPr>
      <w:r>
        <w:rPr>
          <w:sz w:val="20"/>
          <w:szCs w:val="20"/>
        </w:rPr>
        <w:t>Significant components of CoreCivic's deferred tax assets and liabilities as of</w:t>
      </w:r>
      <w:r>
        <w:rPr>
          <w:sz w:val="20"/>
          <w:szCs w:val="20"/>
        </w:rPr>
        <w:t xml:space="preserve"> </w:t>
      </w:r>
      <w:r>
        <w:rPr>
          <w:sz w:val="20"/>
          <w:szCs w:val="20"/>
        </w:rPr>
        <w:t>December 31, 2022 and 2021, are as follows (in thousands):</w:t>
      </w:r>
      <w:r>
        <w:rPr>
          <w:sz w:val="20"/>
          <w:szCs w:val="20"/>
        </w:rPr>
        <w:t xml:space="preserve"> </w:t>
      </w:r>
    </w:p>
    <w:p w:rsidR="00000000" w:rsidRDefault="006D723D">
      <w:pPr>
        <w:pStyle w:val="a3"/>
        <w:spacing w:before="0" w:beforeAutospacing="0" w:after="0" w:afterAutospacing="0"/>
        <w:jc w:val="both"/>
        <w:divId w:val="1839692458"/>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4009"/>
        <w:gridCol w:w="150"/>
        <w:gridCol w:w="160"/>
        <w:gridCol w:w="878"/>
        <w:gridCol w:w="127"/>
        <w:gridCol w:w="140"/>
        <w:gridCol w:w="160"/>
        <w:gridCol w:w="879"/>
        <w:gridCol w:w="142"/>
      </w:tblGrid>
      <w:tr w:rsidR="00000000">
        <w:trPr>
          <w:divId w:val="1839692458"/>
          <w:tblCellSpacing w:w="15" w:type="dxa"/>
        </w:trPr>
        <w:tc>
          <w:tcPr>
            <w:tcW w:w="3154" w:type="pct"/>
            <w:vAlign w:val="center"/>
            <w:hideMark/>
          </w:tcPr>
          <w:p w:rsidR="00000000" w:rsidRDefault="006D723D">
            <w:pPr>
              <w:rPr>
                <w:sz w:val="20"/>
                <w:szCs w:val="20"/>
              </w:rPr>
            </w:pPr>
          </w:p>
        </w:tc>
        <w:tc>
          <w:tcPr>
            <w:tcW w:w="12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700"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11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700"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divId w:val="1839692458"/>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6D723D">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1839692458"/>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1839692458"/>
          <w:trHeight w:val="200"/>
          <w:tblCellSpacing w:w="15" w:type="dxa"/>
        </w:trPr>
        <w:tc>
          <w:tcPr>
            <w:tcW w:w="0" w:type="auto"/>
            <w:hideMark/>
          </w:tcPr>
          <w:p w:rsidR="00000000" w:rsidRDefault="006D723D">
            <w:pPr>
              <w:pStyle w:val="a3"/>
              <w:spacing w:before="0" w:beforeAutospacing="0" w:after="0" w:afterAutospacing="0"/>
              <w:rPr>
                <w:sz w:val="20"/>
                <w:szCs w:val="20"/>
              </w:rPr>
            </w:pPr>
            <w:r>
              <w:rPr>
                <w:b/>
                <w:bCs/>
                <w:sz w:val="20"/>
                <w:szCs w:val="20"/>
              </w:rPr>
              <w:t>Noncurrent deferred tax assets</w:t>
            </w: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divId w:val="1839692458"/>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Asset reserves and liabilities not yet deductible for ta</w:t>
            </w:r>
            <w:r>
              <w:rPr>
                <w:sz w:val="20"/>
                <w:szCs w:val="20"/>
              </w:rPr>
              <w:t>x</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29,51</w:t>
            </w:r>
            <w:r>
              <w:rPr>
                <w:b/>
                <w:bCs/>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37,61</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839692458"/>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Depreciatio</w:t>
            </w:r>
            <w:r>
              <w:rPr>
                <w:sz w:val="20"/>
                <w:szCs w:val="20"/>
              </w:rPr>
              <w:t>n</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8,50</w:t>
            </w:r>
            <w:r>
              <w:rPr>
                <w:b/>
                <w:bCs/>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8,47</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839692458"/>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ROU lease asset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33,22</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41,44</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839692458"/>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Losses and tax credit carryforward</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1,80</w:t>
            </w:r>
            <w:r>
              <w:rPr>
                <w:b/>
                <w:bCs/>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7,64</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839692458"/>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Intangible asset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7,83</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9,15</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839692458"/>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Othe</w:t>
            </w:r>
            <w:r>
              <w:rPr>
                <w:sz w:val="20"/>
                <w:szCs w:val="20"/>
              </w:rPr>
              <w:t>r</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9,95</w:t>
            </w:r>
            <w:r>
              <w:rPr>
                <w:b/>
                <w:bCs/>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13,71</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839692458"/>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Total noncurrent deferred tax asset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90,83</w:t>
            </w:r>
            <w:r>
              <w:rPr>
                <w:b/>
                <w:bCs/>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118,04</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839692458"/>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Less valuation allowanc</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84</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6,35</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divId w:val="1839692458"/>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Total noncurrent deferred tax asset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89,99</w:t>
            </w:r>
            <w:r>
              <w:rPr>
                <w:b/>
                <w:bCs/>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111,69</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839692458"/>
          <w:trHeight w:val="200"/>
          <w:tblCellSpacing w:w="15" w:type="dxa"/>
        </w:trPr>
        <w:tc>
          <w:tcPr>
            <w:tcW w:w="0" w:type="auto"/>
            <w:hideMark/>
          </w:tcPr>
          <w:p w:rsidR="00000000" w:rsidRDefault="006D723D">
            <w:pPr>
              <w:pStyle w:val="a3"/>
              <w:spacing w:before="0" w:beforeAutospacing="0" w:after="0" w:afterAutospacing="0"/>
              <w:rPr>
                <w:sz w:val="20"/>
                <w:szCs w:val="20"/>
              </w:rPr>
            </w:pPr>
            <w:r>
              <w:rPr>
                <w:b/>
                <w:bCs/>
                <w:sz w:val="20"/>
                <w:szCs w:val="20"/>
              </w:rPr>
              <w:t>Noncurrent deferred tax liabilities</w:t>
            </w: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divId w:val="1839692458"/>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Depreciatio</w:t>
            </w:r>
            <w:r>
              <w:rPr>
                <w:sz w:val="20"/>
                <w:szCs w:val="20"/>
              </w:rPr>
              <w:t>n</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148,25</w:t>
            </w:r>
            <w:r>
              <w:rPr>
                <w:b/>
                <w:bCs/>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149,18</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divId w:val="1839692458"/>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Lease liabilitie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32,66</w:t>
            </w:r>
            <w:r>
              <w:rPr>
                <w:b/>
                <w:bCs/>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40,90</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divId w:val="1839692458"/>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Intangible liabilitie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7,55</w:t>
            </w:r>
            <w:r>
              <w:rPr>
                <w:b/>
                <w:bCs/>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8,53</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divId w:val="1839692458"/>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Othe</w:t>
            </w:r>
            <w:r>
              <w:rPr>
                <w:sz w:val="20"/>
                <w:szCs w:val="20"/>
              </w:rPr>
              <w:t>r</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1,13</w:t>
            </w:r>
            <w:r>
              <w:rPr>
                <w:b/>
                <w:bCs/>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1,22</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divId w:val="1839692458"/>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Total noncurrent deferred tax liabilitie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189,60</w:t>
            </w:r>
            <w:r>
              <w:rPr>
                <w:b/>
                <w:bCs/>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199,84</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divId w:val="1839692458"/>
          <w:trHeight w:val="200"/>
          <w:tblCellSpacing w:w="15" w:type="dxa"/>
        </w:trPr>
        <w:tc>
          <w:tcPr>
            <w:tcW w:w="0" w:type="auto"/>
            <w:hideMark/>
          </w:tcPr>
          <w:p w:rsidR="00000000" w:rsidRDefault="006D723D">
            <w:pPr>
              <w:pStyle w:val="a3"/>
              <w:spacing w:before="0" w:beforeAutospacing="0" w:after="0" w:afterAutospacing="0"/>
              <w:ind w:left="400"/>
              <w:rPr>
                <w:sz w:val="20"/>
                <w:szCs w:val="20"/>
              </w:rPr>
            </w:pPr>
            <w:r>
              <w:rPr>
                <w:sz w:val="20"/>
                <w:szCs w:val="20"/>
              </w:rPr>
              <w:t>Net total noncurrent deferred tax liabilitie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99,61</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88,15</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bl>
    <w:p w:rsidR="00000000" w:rsidRDefault="006D723D">
      <w:pPr>
        <w:pStyle w:val="a3"/>
        <w:spacing w:before="0" w:beforeAutospacing="0" w:after="0" w:afterAutospacing="0"/>
        <w:jc w:val="both"/>
        <w:divId w:val="359664538"/>
        <w:rPr>
          <w:sz w:val="20"/>
          <w:szCs w:val="20"/>
        </w:rPr>
      </w:pPr>
      <w:r>
        <w:rPr>
          <w:sz w:val="20"/>
          <w:szCs w:val="20"/>
        </w:rPr>
        <w:t> </w:t>
      </w:r>
    </w:p>
    <w:p w:rsidR="00000000" w:rsidRDefault="006D723D">
      <w:pPr>
        <w:pStyle w:val="a3"/>
        <w:spacing w:before="0" w:beforeAutospacing="0" w:after="0" w:afterAutospacing="0"/>
        <w:ind w:left="476"/>
        <w:jc w:val="both"/>
        <w:divId w:val="1144738889"/>
        <w:rPr>
          <w:sz w:val="20"/>
          <w:szCs w:val="20"/>
        </w:rPr>
      </w:pPr>
      <w:r>
        <w:rPr>
          <w:sz w:val="20"/>
          <w:szCs w:val="20"/>
        </w:rPr>
        <w:t>A reconciliation of the income tax provision at the statutory income tax rate and the effective tax rate as a percentage of income from continuing operations before income taxes for the years ended</w:t>
      </w:r>
      <w:r>
        <w:rPr>
          <w:sz w:val="20"/>
          <w:szCs w:val="20"/>
        </w:rPr>
        <w:t xml:space="preserve"> </w:t>
      </w:r>
      <w:r>
        <w:rPr>
          <w:sz w:val="20"/>
          <w:szCs w:val="20"/>
        </w:rPr>
        <w:t>December 31, 2022, 2021, and 2020 is as follows</w:t>
      </w:r>
      <w:r>
        <w:rPr>
          <w:sz w:val="20"/>
          <w:szCs w:val="20"/>
        </w:rPr>
        <w:t>:</w:t>
      </w:r>
    </w:p>
    <w:p w:rsidR="00000000" w:rsidRDefault="006D723D">
      <w:pPr>
        <w:pStyle w:val="a3"/>
        <w:spacing w:before="0" w:beforeAutospacing="0" w:after="0" w:afterAutospacing="0"/>
        <w:jc w:val="both"/>
        <w:divId w:val="1144738889"/>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380"/>
        <w:gridCol w:w="110"/>
        <w:gridCol w:w="110"/>
        <w:gridCol w:w="633"/>
        <w:gridCol w:w="260"/>
        <w:gridCol w:w="110"/>
        <w:gridCol w:w="110"/>
        <w:gridCol w:w="634"/>
        <w:gridCol w:w="227"/>
        <w:gridCol w:w="110"/>
        <w:gridCol w:w="110"/>
        <w:gridCol w:w="609"/>
        <w:gridCol w:w="242"/>
      </w:tblGrid>
      <w:tr w:rsidR="00000000">
        <w:trPr>
          <w:divId w:val="1144738889"/>
          <w:tblCellSpacing w:w="15" w:type="dxa"/>
        </w:trPr>
        <w:tc>
          <w:tcPr>
            <w:tcW w:w="2787" w:type="pct"/>
            <w:vAlign w:val="center"/>
            <w:hideMark/>
          </w:tcPr>
          <w:p w:rsidR="00000000" w:rsidRDefault="006D723D">
            <w:pPr>
              <w:rPr>
                <w:sz w:val="20"/>
                <w:szCs w:val="20"/>
              </w:rPr>
            </w:pPr>
          </w:p>
        </w:tc>
        <w:tc>
          <w:tcPr>
            <w:tcW w:w="4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9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9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7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divId w:val="1144738889"/>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1144738889"/>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Statutory federal rat</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21.</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21.</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21.</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divId w:val="1144738889"/>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Revaluation of deferred tax liabilitie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center"/>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center"/>
            <w:hideMark/>
          </w:tcPr>
          <w:p w:rsidR="00000000" w:rsidRDefault="006D723D">
            <w:pPr>
              <w:pStyle w:val="a3"/>
              <w:spacing w:before="0" w:beforeAutospacing="0" w:after="0" w:afterAutospacing="0"/>
              <w:jc w:val="right"/>
              <w:rPr>
                <w:sz w:val="20"/>
                <w:szCs w:val="20"/>
              </w:rPr>
            </w:pPr>
            <w:r>
              <w:rPr>
                <w:sz w:val="20"/>
                <w:szCs w:val="20"/>
              </w:rPr>
              <w:t>132.</w:t>
            </w:r>
            <w:r>
              <w:rPr>
                <w:sz w:val="20"/>
                <w:szCs w:val="20"/>
              </w:rPr>
              <w:t>7</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center"/>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r>
      <w:tr w:rsidR="00000000">
        <w:trPr>
          <w:divId w:val="1144738889"/>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Dividends paid deductio</w:t>
            </w:r>
            <w:r>
              <w:rPr>
                <w:sz w:val="20"/>
                <w:szCs w:val="20"/>
              </w:rPr>
              <w:t>n</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center"/>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center"/>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center"/>
            <w:hideMark/>
          </w:tcPr>
          <w:p w:rsidR="00000000" w:rsidRDefault="006D723D">
            <w:pPr>
              <w:pStyle w:val="a3"/>
              <w:spacing w:before="0" w:beforeAutospacing="0" w:after="0" w:afterAutospacing="0"/>
              <w:jc w:val="right"/>
              <w:rPr>
                <w:sz w:val="20"/>
                <w:szCs w:val="20"/>
              </w:rPr>
            </w:pPr>
            <w:r>
              <w:rPr>
                <w:sz w:val="20"/>
                <w:szCs w:val="20"/>
              </w:rPr>
              <w:t>(</w:t>
            </w:r>
            <w:r>
              <w:rPr>
                <w:sz w:val="20"/>
                <w:szCs w:val="20"/>
              </w:rPr>
              <w:t>24.</w:t>
            </w:r>
            <w:r>
              <w:rPr>
                <w:sz w:val="20"/>
                <w:szCs w:val="20"/>
              </w:rPr>
              <w:t>9</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w:t>
            </w:r>
          </w:p>
        </w:tc>
      </w:tr>
      <w:tr w:rsidR="00000000">
        <w:trPr>
          <w:divId w:val="1144738889"/>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State taxes, net of federal tax benefi</w:t>
            </w:r>
            <w:r>
              <w:rPr>
                <w:sz w:val="20"/>
                <w:szCs w:val="20"/>
              </w:rPr>
              <w:t>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center"/>
            <w:hideMark/>
          </w:tcPr>
          <w:p w:rsidR="00000000" w:rsidRDefault="006D723D">
            <w:pPr>
              <w:pStyle w:val="a3"/>
              <w:spacing w:before="0" w:beforeAutospacing="0" w:after="0" w:afterAutospacing="0"/>
              <w:jc w:val="right"/>
              <w:rPr>
                <w:sz w:val="20"/>
                <w:szCs w:val="20"/>
              </w:rPr>
            </w:pPr>
            <w:r>
              <w:rPr>
                <w:b/>
                <w:bCs/>
                <w:sz w:val="20"/>
                <w:szCs w:val="20"/>
              </w:rPr>
              <w:t>3.</w:t>
            </w:r>
            <w:r>
              <w:rPr>
                <w:b/>
                <w:bCs/>
                <w:sz w:val="20"/>
                <w:szCs w:val="20"/>
              </w:rPr>
              <w:t>4</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center"/>
            <w:hideMark/>
          </w:tcPr>
          <w:p w:rsidR="00000000" w:rsidRDefault="006D723D">
            <w:pPr>
              <w:pStyle w:val="a3"/>
              <w:spacing w:before="0" w:beforeAutospacing="0" w:after="0" w:afterAutospacing="0"/>
              <w:jc w:val="right"/>
              <w:rPr>
                <w:sz w:val="20"/>
                <w:szCs w:val="20"/>
              </w:rPr>
            </w:pPr>
            <w:r>
              <w:rPr>
                <w:sz w:val="20"/>
                <w:szCs w:val="20"/>
              </w:rPr>
              <w:t>4.</w:t>
            </w:r>
            <w:r>
              <w:rPr>
                <w:sz w:val="20"/>
                <w:szCs w:val="20"/>
              </w:rPr>
              <w:t>8</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center"/>
            <w:hideMark/>
          </w:tcPr>
          <w:p w:rsidR="00000000" w:rsidRDefault="006D723D">
            <w:pPr>
              <w:pStyle w:val="a3"/>
              <w:spacing w:before="0" w:beforeAutospacing="0" w:after="0" w:afterAutospacing="0"/>
              <w:jc w:val="right"/>
              <w:rPr>
                <w:sz w:val="20"/>
                <w:szCs w:val="20"/>
              </w:rPr>
            </w:pPr>
            <w:r>
              <w:rPr>
                <w:sz w:val="20"/>
                <w:szCs w:val="20"/>
              </w:rPr>
              <w:t>1.</w:t>
            </w:r>
            <w:r>
              <w:rPr>
                <w:sz w:val="20"/>
                <w:szCs w:val="20"/>
              </w:rPr>
              <w:t>9</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r>
      <w:tr w:rsidR="00000000">
        <w:trPr>
          <w:divId w:val="1144738889"/>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Permanent difference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center"/>
            <w:hideMark/>
          </w:tcPr>
          <w:p w:rsidR="00000000" w:rsidRDefault="006D723D">
            <w:pPr>
              <w:pStyle w:val="a3"/>
              <w:spacing w:before="0" w:beforeAutospacing="0" w:after="0" w:afterAutospacing="0"/>
              <w:jc w:val="right"/>
              <w:rPr>
                <w:sz w:val="20"/>
                <w:szCs w:val="20"/>
              </w:rPr>
            </w:pPr>
            <w:r>
              <w:rPr>
                <w:b/>
                <w:bCs/>
                <w:sz w:val="20"/>
                <w:szCs w:val="20"/>
              </w:rPr>
              <w:t>1.</w:t>
            </w:r>
            <w:r>
              <w:rPr>
                <w:b/>
                <w:bCs/>
                <w:sz w:val="20"/>
                <w:szCs w:val="20"/>
              </w:rPr>
              <w:t>7</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center"/>
            <w:hideMark/>
          </w:tcPr>
          <w:p w:rsidR="00000000" w:rsidRDefault="006D723D">
            <w:pPr>
              <w:pStyle w:val="a3"/>
              <w:spacing w:before="0" w:beforeAutospacing="0" w:after="0" w:afterAutospacing="0"/>
              <w:jc w:val="right"/>
              <w:rPr>
                <w:sz w:val="20"/>
                <w:szCs w:val="20"/>
              </w:rPr>
            </w:pPr>
            <w:r>
              <w:rPr>
                <w:sz w:val="20"/>
                <w:szCs w:val="20"/>
              </w:rPr>
              <w:t>2.</w:t>
            </w:r>
            <w:r>
              <w:rPr>
                <w:sz w:val="20"/>
                <w:szCs w:val="20"/>
              </w:rPr>
              <w:t>8</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center"/>
            <w:hideMark/>
          </w:tcPr>
          <w:p w:rsidR="00000000" w:rsidRDefault="006D723D">
            <w:pPr>
              <w:pStyle w:val="a3"/>
              <w:spacing w:before="0" w:beforeAutospacing="0" w:after="0" w:afterAutospacing="0"/>
              <w:jc w:val="right"/>
              <w:rPr>
                <w:sz w:val="20"/>
                <w:szCs w:val="20"/>
              </w:rPr>
            </w:pPr>
            <w:r>
              <w:rPr>
                <w:sz w:val="20"/>
                <w:szCs w:val="20"/>
              </w:rPr>
              <w:t>2.</w:t>
            </w:r>
            <w:r>
              <w:rPr>
                <w:sz w:val="20"/>
                <w:szCs w:val="20"/>
              </w:rPr>
              <w:t>2</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r>
      <w:tr w:rsidR="00000000">
        <w:trPr>
          <w:divId w:val="1144738889"/>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Deferred tax expense on Kansas lease structur</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center"/>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center"/>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center"/>
            <w:hideMark/>
          </w:tcPr>
          <w:p w:rsidR="00000000" w:rsidRDefault="006D723D">
            <w:pPr>
              <w:pStyle w:val="a3"/>
              <w:spacing w:before="0" w:beforeAutospacing="0" w:after="0" w:afterAutospacing="0"/>
              <w:jc w:val="right"/>
              <w:rPr>
                <w:sz w:val="20"/>
                <w:szCs w:val="20"/>
              </w:rPr>
            </w:pPr>
            <w:r>
              <w:rPr>
                <w:sz w:val="20"/>
                <w:szCs w:val="20"/>
              </w:rPr>
              <w:t>5.</w:t>
            </w:r>
            <w:r>
              <w:rPr>
                <w:sz w:val="20"/>
                <w:szCs w:val="20"/>
              </w:rPr>
              <w:t>2</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r>
      <w:tr w:rsidR="00000000">
        <w:trPr>
          <w:divId w:val="1144738889"/>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Tax benefit of equity-based compensatio</w:t>
            </w:r>
            <w:r>
              <w:rPr>
                <w:sz w:val="20"/>
                <w:szCs w:val="20"/>
              </w:rPr>
              <w:t>n</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center"/>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center"/>
            <w:hideMark/>
          </w:tcPr>
          <w:p w:rsidR="00000000" w:rsidRDefault="006D723D">
            <w:pPr>
              <w:pStyle w:val="a3"/>
              <w:spacing w:before="0" w:beforeAutospacing="0" w:after="0" w:afterAutospacing="0"/>
              <w:jc w:val="right"/>
              <w:rPr>
                <w:sz w:val="20"/>
                <w:szCs w:val="20"/>
              </w:rPr>
            </w:pPr>
            <w:r>
              <w:rPr>
                <w:sz w:val="20"/>
                <w:szCs w:val="20"/>
              </w:rPr>
              <w:t>2.</w:t>
            </w:r>
            <w:r>
              <w:rPr>
                <w:sz w:val="20"/>
                <w:szCs w:val="20"/>
              </w:rPr>
              <w:t>6</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center"/>
            <w:hideMark/>
          </w:tcPr>
          <w:p w:rsidR="00000000" w:rsidRDefault="006D723D">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r>
      <w:tr w:rsidR="00000000">
        <w:trPr>
          <w:divId w:val="1144738889"/>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Other items, ne</w:t>
            </w:r>
            <w:r>
              <w:rPr>
                <w:sz w:val="20"/>
                <w:szCs w:val="20"/>
              </w:rPr>
              <w:t>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center"/>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0.</w:t>
            </w:r>
            <w:r>
              <w:rPr>
                <w:b/>
                <w:bCs/>
                <w:sz w:val="20"/>
                <w:szCs w:val="20"/>
              </w:rPr>
              <w:t>1</w:t>
            </w:r>
          </w:p>
        </w:tc>
        <w:tc>
          <w:tcPr>
            <w:tcW w:w="0" w:type="auto"/>
            <w:noWrap/>
            <w:vAlign w:val="center"/>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center"/>
            <w:hideMark/>
          </w:tcPr>
          <w:p w:rsidR="00000000" w:rsidRDefault="006D723D">
            <w:pPr>
              <w:pStyle w:val="a3"/>
              <w:spacing w:before="0" w:beforeAutospacing="0" w:after="0" w:afterAutospacing="0"/>
              <w:jc w:val="right"/>
              <w:rPr>
                <w:sz w:val="20"/>
                <w:szCs w:val="20"/>
              </w:rPr>
            </w:pPr>
            <w:r>
              <w:rPr>
                <w:sz w:val="20"/>
                <w:szCs w:val="20"/>
              </w:rPr>
              <w:t>(</w:t>
            </w:r>
            <w:r>
              <w:rPr>
                <w:sz w:val="20"/>
                <w:szCs w:val="20"/>
              </w:rPr>
              <w:t>3.</w:t>
            </w:r>
            <w:r>
              <w:rPr>
                <w:sz w:val="20"/>
                <w:szCs w:val="20"/>
              </w:rPr>
              <w:t>6</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c>
          <w:tcPr>
            <w:tcW w:w="0" w:type="auto"/>
            <w:vAlign w:val="center"/>
            <w:hideMark/>
          </w:tcPr>
          <w:p w:rsidR="00000000" w:rsidRDefault="006D723D">
            <w:pPr>
              <w:pStyle w:val="a3"/>
              <w:spacing w:before="0" w:beforeAutospacing="0" w:after="0" w:afterAutospacing="0"/>
              <w:jc w:val="right"/>
              <w:rPr>
                <w:sz w:val="20"/>
                <w:szCs w:val="20"/>
              </w:rPr>
            </w:pPr>
            <w:r>
              <w:rPr>
                <w:sz w:val="20"/>
                <w:szCs w:val="20"/>
              </w:rPr>
              <w:t>0.</w:t>
            </w:r>
            <w:r>
              <w:rPr>
                <w:sz w:val="20"/>
                <w:szCs w:val="20"/>
              </w:rPr>
              <w:t>8</w:t>
            </w:r>
          </w:p>
        </w:tc>
        <w:tc>
          <w:tcPr>
            <w:tcW w:w="0" w:type="auto"/>
            <w:noWrap/>
            <w:vAlign w:val="center"/>
            <w:hideMark/>
          </w:tcPr>
          <w:p w:rsidR="00000000" w:rsidRDefault="006D723D">
            <w:pPr>
              <w:pStyle w:val="a3"/>
              <w:spacing w:before="0" w:beforeAutospacing="0" w:after="0" w:afterAutospacing="0"/>
              <w:rPr>
                <w:sz w:val="20"/>
                <w:szCs w:val="20"/>
              </w:rPr>
            </w:pPr>
            <w:r>
              <w:rPr>
                <w:sz w:val="20"/>
                <w:szCs w:val="20"/>
              </w:rPr>
              <w:t> </w:t>
            </w:r>
          </w:p>
        </w:tc>
      </w:tr>
      <w:tr w:rsidR="00000000">
        <w:trPr>
          <w:divId w:val="1144738889"/>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26.</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160.</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7.</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bl>
    <w:p w:rsidR="00000000" w:rsidRDefault="006D723D">
      <w:pPr>
        <w:pStyle w:val="a3"/>
        <w:spacing w:before="240" w:beforeAutospacing="0" w:after="0" w:afterAutospacing="0"/>
        <w:ind w:left="476"/>
        <w:jc w:val="both"/>
        <w:divId w:val="359664538"/>
        <w:rPr>
          <w:sz w:val="20"/>
          <w:szCs w:val="20"/>
        </w:rPr>
      </w:pPr>
      <w:r>
        <w:rPr>
          <w:sz w:val="20"/>
          <w:szCs w:val="20"/>
        </w:rPr>
        <w:t>On March 27, 2020, President Trump signed into law the Coronavirus Aid, Relief and Economic Security Act (the "CARES Act"). The CARES Act, among other things, includes provisions relating to the deferral of employer side social security payments, net opera</w:t>
      </w:r>
      <w:r>
        <w:rPr>
          <w:sz w:val="20"/>
          <w:szCs w:val="20"/>
        </w:rPr>
        <w:t xml:space="preserve">ting loss carryback periods, alternative minimum tax credit refunds, modifications to the net interest deduction limitations and technical corrections to tax depreciation methods for qualified improvement property. The accelerated depreciation methods for </w:t>
      </w:r>
      <w:r>
        <w:rPr>
          <w:sz w:val="20"/>
          <w:szCs w:val="20"/>
        </w:rPr>
        <w:t xml:space="preserve">qualified improvement property significantly reduced the Company's taxable income and, therefore, its distribution requirement as a REIT for 2020. During 2020, the Company deferred payment of </w:t>
      </w:r>
      <w:r>
        <w:rPr>
          <w:sz w:val="20"/>
          <w:szCs w:val="20"/>
        </w:rPr>
        <w:t>$</w:t>
      </w:r>
      <w:r>
        <w:rPr>
          <w:sz w:val="20"/>
          <w:szCs w:val="20"/>
        </w:rPr>
        <w:t>29.</w:t>
      </w:r>
      <w:r>
        <w:rPr>
          <w:sz w:val="20"/>
          <w:szCs w:val="20"/>
        </w:rPr>
        <w:t>6</w:t>
      </w:r>
      <w:r>
        <w:rPr>
          <w:sz w:val="20"/>
          <w:szCs w:val="20"/>
        </w:rPr>
        <w:t xml:space="preserve"> million of employer-side social security payments. Half of</w:t>
      </w:r>
      <w:r>
        <w:rPr>
          <w:sz w:val="20"/>
          <w:szCs w:val="20"/>
        </w:rPr>
        <w:t xml:space="preserve"> this deferred amount was paid in December 2021 while the remaining deferred amount was paid in September 2022</w:t>
      </w:r>
      <w:r>
        <w:rPr>
          <w:sz w:val="20"/>
          <w:szCs w:val="20"/>
        </w:rPr>
        <w:t>.</w:t>
      </w:r>
    </w:p>
    <w:p w:rsidR="00000000" w:rsidRDefault="006D723D">
      <w:pPr>
        <w:pStyle w:val="a3"/>
        <w:spacing w:before="240" w:beforeAutospacing="0" w:after="0" w:afterAutospacing="0"/>
        <w:ind w:left="476"/>
        <w:jc w:val="both"/>
        <w:divId w:val="359664538"/>
        <w:rPr>
          <w:sz w:val="20"/>
          <w:szCs w:val="20"/>
        </w:rPr>
      </w:pPr>
      <w:r>
        <w:rPr>
          <w:sz w:val="20"/>
          <w:szCs w:val="20"/>
        </w:rPr>
        <w:t>The CARES Act also incentivized companies to retain employees through an Employee Retention Credit ("ERC"). The ERC compensates employers for wa</w:t>
      </w:r>
      <w:r>
        <w:rPr>
          <w:sz w:val="20"/>
          <w:szCs w:val="20"/>
        </w:rPr>
        <w:t>ges of employees that were retained and could not perform their job duties at 100% capacity as a result of coronavirus pandemic restrictions. In December 2020, the Consolidated Appropriations Act provided additional funding for the ERC with expanded benefi</w:t>
      </w:r>
      <w:r>
        <w:rPr>
          <w:sz w:val="20"/>
          <w:szCs w:val="20"/>
        </w:rPr>
        <w:t xml:space="preserve">ts through June 30, 2021. During the year ended December 31, 2022, the Company recorded an ERC of </w:t>
      </w:r>
      <w:r>
        <w:rPr>
          <w:sz w:val="20"/>
          <w:szCs w:val="20"/>
        </w:rPr>
        <w:t>$</w:t>
      </w:r>
      <w:r>
        <w:rPr>
          <w:sz w:val="20"/>
          <w:szCs w:val="20"/>
        </w:rPr>
        <w:t>7.</w:t>
      </w:r>
      <w:r>
        <w:rPr>
          <w:sz w:val="20"/>
          <w:szCs w:val="20"/>
        </w:rPr>
        <w:t>0</w:t>
      </w:r>
      <w:r>
        <w:rPr>
          <w:sz w:val="20"/>
          <w:szCs w:val="20"/>
        </w:rPr>
        <w:t xml:space="preserve"> million which offset operating expenses. The credit was reduced by </w:t>
      </w:r>
      <w:r>
        <w:rPr>
          <w:sz w:val="20"/>
          <w:szCs w:val="20"/>
        </w:rPr>
        <w:t>$</w:t>
      </w:r>
      <w:r>
        <w:rPr>
          <w:sz w:val="20"/>
          <w:szCs w:val="20"/>
        </w:rPr>
        <w:t>1.</w:t>
      </w:r>
      <w:r>
        <w:rPr>
          <w:sz w:val="20"/>
          <w:szCs w:val="20"/>
        </w:rPr>
        <w:t>8</w:t>
      </w:r>
      <w:r>
        <w:rPr>
          <w:sz w:val="20"/>
          <w:szCs w:val="20"/>
        </w:rPr>
        <w:t xml:space="preserve"> million of federal income tax expense</w:t>
      </w:r>
      <w:r>
        <w:rPr>
          <w:sz w:val="20"/>
          <w:szCs w:val="20"/>
        </w:rPr>
        <w:t>.</w:t>
      </w:r>
    </w:p>
    <w:p w:rsidR="00000000" w:rsidRDefault="006D723D">
      <w:pPr>
        <w:pStyle w:val="a3"/>
        <w:spacing w:before="0" w:beforeAutospacing="0" w:after="0" w:afterAutospacing="0"/>
        <w:jc w:val="center"/>
        <w:divId w:val="359664538"/>
        <w:rPr>
          <w:sz w:val="20"/>
          <w:szCs w:val="20"/>
        </w:rPr>
      </w:pPr>
      <w:r>
        <w:rPr>
          <w:sz w:val="20"/>
          <w:szCs w:val="20"/>
        </w:rPr>
        <w:t>F</w:t>
      </w:r>
      <w:r>
        <w:rPr>
          <w:sz w:val="20"/>
          <w:szCs w:val="20"/>
        </w:rPr>
        <w:t>-</w:t>
      </w:r>
      <w:r>
        <w:rPr>
          <w:sz w:val="20"/>
          <w:szCs w:val="20"/>
        </w:rPr>
        <w:t>3</w:t>
      </w:r>
      <w:r>
        <w:rPr>
          <w:sz w:val="20"/>
          <w:szCs w:val="20"/>
        </w:rPr>
        <w:t>0</w:t>
      </w:r>
    </w:p>
    <w:p w:rsidR="00000000" w:rsidRDefault="006D723D">
      <w:pPr>
        <w:divId w:val="359664538"/>
        <w:rPr>
          <w:rFonts w:eastAsia="Times New Roman"/>
        </w:rPr>
      </w:pPr>
      <w:r>
        <w:rPr>
          <w:rFonts w:eastAsia="Times New Roman"/>
        </w:rPr>
        <w:pict>
          <v:rect id="_x0000_i1158" style="width:0;height:1.5pt" o:hralign="center" o:hrstd="t" o:hr="t" fillcolor="#a0a0a0" stroked="f"/>
        </w:pict>
      </w:r>
    </w:p>
    <w:p w:rsidR="00000000" w:rsidRDefault="006D723D">
      <w:pPr>
        <w:pStyle w:val="a3"/>
        <w:spacing w:before="0" w:beforeAutospacing="0" w:after="0" w:afterAutospacing="0"/>
        <w:divId w:val="359664538"/>
        <w:rPr>
          <w:sz w:val="20"/>
          <w:szCs w:val="20"/>
        </w:rPr>
      </w:pPr>
      <w:r>
        <w:rPr>
          <w:sz w:val="20"/>
          <w:szCs w:val="20"/>
        </w:rPr>
        <w:t> </w:t>
      </w:r>
    </w:p>
    <w:p w:rsidR="00000000" w:rsidRDefault="006D723D">
      <w:pPr>
        <w:pStyle w:val="a3"/>
        <w:spacing w:before="240" w:beforeAutospacing="0" w:after="0" w:afterAutospacing="0"/>
        <w:ind w:left="476"/>
        <w:jc w:val="both"/>
        <w:divId w:val="359664538"/>
        <w:rPr>
          <w:sz w:val="20"/>
          <w:szCs w:val="20"/>
        </w:rPr>
      </w:pPr>
      <w:r>
        <w:rPr>
          <w:sz w:val="20"/>
          <w:szCs w:val="20"/>
        </w:rPr>
        <w:t>The Inflation Reduction Act of 2022 (the "Inflation Reduction Act") was signed into law on August 16, 2022. Among other provisions, such act creates an excise tax of</w:t>
      </w:r>
      <w:r>
        <w:rPr>
          <w:sz w:val="20"/>
          <w:szCs w:val="20"/>
        </w:rPr>
        <w:t xml:space="preserve"> </w:t>
      </w:r>
      <w:r>
        <w:rPr>
          <w:sz w:val="20"/>
          <w:szCs w:val="20"/>
        </w:rPr>
        <w:t>1</w:t>
      </w:r>
      <w:r>
        <w:rPr>
          <w:sz w:val="20"/>
          <w:szCs w:val="20"/>
        </w:rPr>
        <w:t>% on the fair value of net stock repurchases in excess of share issuances made by publi</w:t>
      </w:r>
      <w:r>
        <w:rPr>
          <w:sz w:val="20"/>
          <w:szCs w:val="20"/>
        </w:rPr>
        <w:t>cly traded U.S. corporations, effective for repurchases after December 31, 2022. The impact of this excise tax on the Company’s financial position, and/or liquidity, in future periods, will vary based on the level of net stock repurchases made by the Compa</w:t>
      </w:r>
      <w:r>
        <w:rPr>
          <w:sz w:val="20"/>
          <w:szCs w:val="20"/>
        </w:rPr>
        <w:t>ny in a given year. While the Company is still evaluating the potential impact of this excise tax on its results of operations, interpretive accounting guidance indicates that this tax likely can be recorded as a component of equity, as opposed to an expen</w:t>
      </w:r>
      <w:r>
        <w:rPr>
          <w:sz w:val="20"/>
          <w:szCs w:val="20"/>
        </w:rPr>
        <w:t>se within the statement of operations, given that it is a direct cost associated with the repurchase of the Company's common stock</w:t>
      </w:r>
      <w:r>
        <w:rPr>
          <w:sz w:val="20"/>
          <w:szCs w:val="20"/>
        </w:rPr>
        <w:t>.</w:t>
      </w:r>
    </w:p>
    <w:p w:rsidR="00000000" w:rsidRDefault="006D723D">
      <w:pPr>
        <w:pStyle w:val="a3"/>
        <w:spacing w:before="240" w:beforeAutospacing="0" w:after="0" w:afterAutospacing="0"/>
        <w:ind w:left="476"/>
        <w:jc w:val="both"/>
        <w:divId w:val="359664538"/>
        <w:rPr>
          <w:sz w:val="20"/>
          <w:szCs w:val="20"/>
        </w:rPr>
      </w:pPr>
      <w:r>
        <w:rPr>
          <w:sz w:val="20"/>
          <w:szCs w:val="20"/>
        </w:rPr>
        <w:t>CoreCivic had</w:t>
      </w:r>
      <w:r>
        <w:rPr>
          <w:sz w:val="20"/>
          <w:szCs w:val="20"/>
        </w:rPr>
        <w:t xml:space="preserve"> </w:t>
      </w:r>
      <w:r>
        <w:rPr>
          <w:sz w:val="20"/>
          <w:szCs w:val="20"/>
        </w:rPr>
        <w:t>n</w:t>
      </w:r>
      <w:r>
        <w:rPr>
          <w:sz w:val="20"/>
          <w:szCs w:val="20"/>
        </w:rPr>
        <w:t>o</w:t>
      </w:r>
      <w:r>
        <w:rPr>
          <w:sz w:val="20"/>
          <w:szCs w:val="20"/>
        </w:rPr>
        <w:t xml:space="preserve"> liabilities for uncertain tax positions as of</w:t>
      </w:r>
      <w:r>
        <w:rPr>
          <w:sz w:val="20"/>
          <w:szCs w:val="20"/>
        </w:rPr>
        <w:t xml:space="preserve"> </w:t>
      </w:r>
      <w:r>
        <w:rPr>
          <w:sz w:val="20"/>
          <w:szCs w:val="20"/>
        </w:rPr>
        <w:t>December 31, 2022 and 2021. CoreCivic recognizes interest and</w:t>
      </w:r>
      <w:r>
        <w:rPr>
          <w:sz w:val="20"/>
          <w:szCs w:val="20"/>
        </w:rPr>
        <w:t xml:space="preserve"> penalties related to unrecognized tax positions in income tax expense. CoreCivic does not currently anticipate that the total amount of unrecognized tax positions will significantly change in the next twelve months</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359664538"/>
        <w:rPr>
          <w:sz w:val="20"/>
          <w:szCs w:val="20"/>
        </w:rPr>
      </w:pPr>
      <w:r>
        <w:rPr>
          <w:sz w:val="20"/>
          <w:szCs w:val="20"/>
        </w:rPr>
        <w:t>CoreCivic's U.S. federal income tax re</w:t>
      </w:r>
      <w:r>
        <w:rPr>
          <w:sz w:val="20"/>
          <w:szCs w:val="20"/>
        </w:rPr>
        <w:t>turns for tax years 2019 through 2021 remain subject to examination by the Internal Revenue Service ("IRS"). The majority of states in which CoreCivic files income tax returns follow the same statute of limitations as the federal government. Certain states</w:t>
      </w:r>
      <w:r>
        <w:rPr>
          <w:sz w:val="20"/>
          <w:szCs w:val="20"/>
        </w:rPr>
        <w:t xml:space="preserve"> in which CoreCivic files income tax returns have statutes that remain open from 2018</w:t>
      </w:r>
      <w:r>
        <w:rPr>
          <w:sz w:val="20"/>
          <w:szCs w:val="20"/>
        </w:rPr>
        <w:t>.</w:t>
      </w:r>
      <w:r>
        <w:rPr>
          <w:sz w:val="20"/>
          <w:szCs w:val="20"/>
        </w:rPr>
        <w:t xml:space="preserve"> </w:t>
      </w:r>
    </w:p>
    <w:p w:rsidR="00000000" w:rsidRDefault="006D723D">
      <w:pPr>
        <w:jc w:val="both"/>
        <w:divId w:val="1562211378"/>
        <w:rPr>
          <w:rFonts w:eastAsia="Times New Roman"/>
        </w:rPr>
      </w:pPr>
      <w:r>
        <w:rPr>
          <w:rFonts w:eastAsia="Times New Roman"/>
          <w:b/>
          <w:bCs/>
          <w:sz w:val="20"/>
          <w:szCs w:val="20"/>
        </w:rPr>
        <w:t>13</w:t>
      </w:r>
      <w:r>
        <w:rPr>
          <w:rFonts w:eastAsia="Times New Roman"/>
          <w:b/>
          <w:bCs/>
          <w:sz w:val="20"/>
          <w:szCs w:val="20"/>
        </w:rPr>
        <w:t>.</w:t>
      </w:r>
    </w:p>
    <w:p w:rsidR="00000000" w:rsidRDefault="006D723D">
      <w:pPr>
        <w:jc w:val="both"/>
        <w:divId w:val="198396422"/>
        <w:rPr>
          <w:rFonts w:eastAsia="Times New Roman"/>
        </w:rPr>
      </w:pPr>
      <w:r>
        <w:rPr>
          <w:rFonts w:eastAsia="Times New Roman"/>
          <w:b/>
          <w:bCs/>
          <w:sz w:val="20"/>
          <w:szCs w:val="20"/>
        </w:rPr>
        <w:t>STOCKHOLDERS' EQUIT</w:t>
      </w:r>
      <w:r>
        <w:rPr>
          <w:rFonts w:eastAsia="Times New Roman"/>
          <w:b/>
          <w:bCs/>
          <w:sz w:val="20"/>
          <w:szCs w:val="20"/>
        </w:rPr>
        <w:t>Y</w:t>
      </w:r>
    </w:p>
    <w:p w:rsidR="00000000" w:rsidRDefault="006D723D">
      <w:pPr>
        <w:pStyle w:val="a3"/>
        <w:spacing w:before="120" w:beforeAutospacing="0" w:after="0" w:afterAutospacing="0"/>
        <w:ind w:firstLine="555"/>
        <w:jc w:val="both"/>
        <w:divId w:val="1416126883"/>
        <w:rPr>
          <w:sz w:val="20"/>
          <w:szCs w:val="20"/>
        </w:rPr>
      </w:pPr>
      <w:r>
        <w:rPr>
          <w:b/>
          <w:bCs/>
          <w:sz w:val="20"/>
          <w:szCs w:val="20"/>
        </w:rPr>
        <w:t>Dividends on Common Stoc</w:t>
      </w:r>
      <w:r>
        <w:rPr>
          <w:b/>
          <w:bCs/>
          <w:sz w:val="20"/>
          <w:szCs w:val="20"/>
        </w:rPr>
        <w:t>k</w:t>
      </w:r>
    </w:p>
    <w:p w:rsidR="00000000" w:rsidRDefault="006D723D">
      <w:pPr>
        <w:pStyle w:val="a3"/>
        <w:spacing w:before="120" w:beforeAutospacing="0" w:after="0" w:afterAutospacing="0"/>
        <w:ind w:left="476"/>
        <w:jc w:val="both"/>
        <w:divId w:val="1878085532"/>
        <w:rPr>
          <w:sz w:val="20"/>
          <w:szCs w:val="20"/>
        </w:rPr>
      </w:pPr>
      <w:r>
        <w:rPr>
          <w:sz w:val="20"/>
          <w:szCs w:val="20"/>
        </w:rPr>
        <w:t>The tax characterization of dividends per share on common shares as reported to stockholders was as follows for the y</w:t>
      </w:r>
      <w:r>
        <w:rPr>
          <w:sz w:val="20"/>
          <w:szCs w:val="20"/>
        </w:rPr>
        <w:t>ear ended December 31, 2020 (unaudited)</w:t>
      </w:r>
      <w:r>
        <w:rPr>
          <w:sz w:val="20"/>
          <w:szCs w:val="20"/>
        </w:rPr>
        <w:t>:</w:t>
      </w:r>
      <w:r>
        <w:rPr>
          <w:sz w:val="20"/>
          <w:szCs w:val="20"/>
        </w:rPr>
        <w:t xml:space="preserve"> </w:t>
      </w:r>
    </w:p>
    <w:p w:rsidR="00000000" w:rsidRDefault="006D723D">
      <w:pPr>
        <w:pStyle w:val="a3"/>
        <w:spacing w:before="0" w:beforeAutospacing="0" w:after="0" w:afterAutospacing="0"/>
        <w:jc w:val="both"/>
        <w:divId w:val="1878085532"/>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345"/>
        <w:gridCol w:w="110"/>
        <w:gridCol w:w="1295"/>
        <w:gridCol w:w="110"/>
        <w:gridCol w:w="1284"/>
        <w:gridCol w:w="110"/>
        <w:gridCol w:w="110"/>
        <w:gridCol w:w="810"/>
        <w:gridCol w:w="110"/>
        <w:gridCol w:w="212"/>
        <w:gridCol w:w="110"/>
        <w:gridCol w:w="111"/>
        <w:gridCol w:w="582"/>
        <w:gridCol w:w="110"/>
        <w:gridCol w:w="110"/>
        <w:gridCol w:w="110"/>
        <w:gridCol w:w="160"/>
        <w:gridCol w:w="561"/>
        <w:gridCol w:w="125"/>
      </w:tblGrid>
      <w:tr w:rsidR="00000000">
        <w:trPr>
          <w:divId w:val="1878085532"/>
          <w:tblCellSpacing w:w="15" w:type="dxa"/>
        </w:trPr>
        <w:tc>
          <w:tcPr>
            <w:tcW w:w="974" w:type="pct"/>
            <w:vAlign w:val="center"/>
            <w:hideMark/>
          </w:tcPr>
          <w:p w:rsidR="00000000" w:rsidRDefault="006D723D">
            <w:pPr>
              <w:rPr>
                <w:sz w:val="20"/>
                <w:szCs w:val="20"/>
              </w:rPr>
            </w:pPr>
          </w:p>
        </w:tc>
        <w:tc>
          <w:tcPr>
            <w:tcW w:w="62" w:type="pct"/>
            <w:vAlign w:val="center"/>
            <w:hideMark/>
          </w:tcPr>
          <w:p w:rsidR="00000000" w:rsidRDefault="006D723D">
            <w:pPr>
              <w:rPr>
                <w:rFonts w:eastAsia="Times New Roman"/>
                <w:sz w:val="20"/>
                <w:szCs w:val="20"/>
              </w:rPr>
            </w:pPr>
          </w:p>
        </w:tc>
        <w:tc>
          <w:tcPr>
            <w:tcW w:w="975" w:type="pct"/>
            <w:vAlign w:val="center"/>
            <w:hideMark/>
          </w:tcPr>
          <w:p w:rsidR="00000000" w:rsidRDefault="006D723D">
            <w:pPr>
              <w:rPr>
                <w:rFonts w:eastAsia="Times New Roman"/>
                <w:sz w:val="20"/>
                <w:szCs w:val="20"/>
              </w:rPr>
            </w:pPr>
          </w:p>
        </w:tc>
        <w:tc>
          <w:tcPr>
            <w:tcW w:w="62" w:type="pct"/>
            <w:vAlign w:val="center"/>
            <w:hideMark/>
          </w:tcPr>
          <w:p w:rsidR="00000000" w:rsidRDefault="006D723D">
            <w:pPr>
              <w:rPr>
                <w:rFonts w:eastAsia="Times New Roman"/>
                <w:sz w:val="20"/>
                <w:szCs w:val="20"/>
              </w:rPr>
            </w:pPr>
          </w:p>
        </w:tc>
        <w:tc>
          <w:tcPr>
            <w:tcW w:w="967" w:type="pct"/>
            <w:vAlign w:val="center"/>
            <w:hideMark/>
          </w:tcPr>
          <w:p w:rsidR="00000000" w:rsidRDefault="006D723D">
            <w:pPr>
              <w:rPr>
                <w:rFonts w:eastAsia="Times New Roman"/>
                <w:sz w:val="20"/>
                <w:szCs w:val="20"/>
              </w:rPr>
            </w:pPr>
          </w:p>
        </w:tc>
        <w:tc>
          <w:tcPr>
            <w:tcW w:w="47"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4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93" w:type="pct"/>
            <w:vAlign w:val="center"/>
            <w:hideMark/>
          </w:tcPr>
          <w:p w:rsidR="00000000" w:rsidRDefault="006D723D">
            <w:pPr>
              <w:rPr>
                <w:rFonts w:eastAsia="Times New Roman"/>
                <w:sz w:val="20"/>
                <w:szCs w:val="20"/>
              </w:rPr>
            </w:pPr>
          </w:p>
        </w:tc>
        <w:tc>
          <w:tcPr>
            <w:tcW w:w="47"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30"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84" w:type="pct"/>
            <w:vAlign w:val="center"/>
            <w:hideMark/>
          </w:tcPr>
          <w:p w:rsidR="00000000" w:rsidRDefault="006D723D">
            <w:pPr>
              <w:rPr>
                <w:rFonts w:eastAsia="Times New Roman"/>
                <w:sz w:val="20"/>
                <w:szCs w:val="20"/>
              </w:rPr>
            </w:pPr>
          </w:p>
        </w:tc>
        <w:tc>
          <w:tcPr>
            <w:tcW w:w="6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4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divId w:val="1878085532"/>
          <w:trHeight w:val="160"/>
          <w:tblCellSpacing w:w="15" w:type="dxa"/>
        </w:trPr>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Ordinar</w:t>
            </w:r>
            <w:r>
              <w:rPr>
                <w:b/>
                <w:bCs/>
                <w:sz w:val="16"/>
                <w:szCs w:val="16"/>
              </w:rPr>
              <w:t>y</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Return o</w:t>
            </w:r>
            <w:r>
              <w:rPr>
                <w:b/>
                <w:bCs/>
                <w:sz w:val="16"/>
                <w:szCs w:val="16"/>
              </w:rPr>
              <w:t>f</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1878085532"/>
          <w:trHeight w:val="160"/>
          <w:tblCellSpacing w:w="15" w:type="dxa"/>
        </w:trPr>
        <w:tc>
          <w:tcPr>
            <w:tcW w:w="0" w:type="auto"/>
            <w:vAlign w:val="bottom"/>
            <w:hideMark/>
          </w:tcPr>
          <w:p w:rsidR="00000000" w:rsidRDefault="006D723D">
            <w:pPr>
              <w:pStyle w:val="a3"/>
              <w:spacing w:before="0" w:beforeAutospacing="0" w:after="0" w:afterAutospacing="0"/>
              <w:rPr>
                <w:sz w:val="16"/>
                <w:szCs w:val="16"/>
              </w:rPr>
            </w:pPr>
            <w:r>
              <w:rPr>
                <w:b/>
                <w:bCs/>
                <w:sz w:val="16"/>
                <w:szCs w:val="16"/>
              </w:rPr>
              <w:t>Declaration Dat</w:t>
            </w:r>
            <w:r>
              <w:rPr>
                <w:b/>
                <w:bCs/>
                <w:sz w:val="16"/>
                <w:szCs w:val="16"/>
              </w:rPr>
              <w:t>e</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b/>
                <w:bCs/>
                <w:sz w:val="16"/>
                <w:szCs w:val="16"/>
              </w:rPr>
              <w:t>Record Dat</w:t>
            </w:r>
            <w:r>
              <w:rPr>
                <w:b/>
                <w:bCs/>
                <w:sz w:val="16"/>
                <w:szCs w:val="16"/>
              </w:rPr>
              <w:t>e</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b/>
                <w:bCs/>
                <w:sz w:val="16"/>
                <w:szCs w:val="16"/>
              </w:rPr>
              <w:t>Payable Dat</w:t>
            </w:r>
            <w:r>
              <w:rPr>
                <w:b/>
                <w:bCs/>
                <w:sz w:val="16"/>
                <w:szCs w:val="16"/>
              </w:rPr>
              <w:t>e</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Incom</w:t>
            </w:r>
            <w:r>
              <w:rPr>
                <w:b/>
                <w:bCs/>
                <w:sz w:val="16"/>
                <w:szCs w:val="16"/>
              </w:rPr>
              <w:t>e</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Capita</w:t>
            </w:r>
            <w:r>
              <w:rPr>
                <w:b/>
                <w:bCs/>
                <w:sz w:val="16"/>
                <w:szCs w:val="16"/>
              </w:rPr>
              <w:t>l</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Per Shar</w:t>
            </w:r>
            <w:r>
              <w:rPr>
                <w:b/>
                <w:bCs/>
                <w:sz w:val="16"/>
                <w:szCs w:val="16"/>
              </w:rPr>
              <w:t>e</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1878085532"/>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February 20, 202</w:t>
            </w:r>
            <w:r>
              <w:rPr>
                <w:sz w:val="20"/>
                <w:szCs w:val="20"/>
              </w:rPr>
              <w:t>0</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April 1, 202</w:t>
            </w:r>
            <w:r>
              <w:rPr>
                <w:sz w:val="20"/>
                <w:szCs w:val="20"/>
              </w:rPr>
              <w:t>0</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April 15, 202</w:t>
            </w:r>
            <w:r>
              <w:rPr>
                <w:sz w:val="20"/>
                <w:szCs w:val="20"/>
              </w:rPr>
              <w:t>0</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0.44000</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13"/>
                <w:szCs w:val="13"/>
              </w:rPr>
              <w:t>(1</w:t>
            </w:r>
            <w:r>
              <w:rPr>
                <w:sz w:val="13"/>
                <w:szCs w:val="13"/>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0.4</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bl>
    <w:p w:rsidR="00000000" w:rsidRDefault="006D723D">
      <w:pPr>
        <w:pStyle w:val="a3"/>
        <w:spacing w:before="0" w:beforeAutospacing="0" w:after="0" w:afterAutospacing="0"/>
        <w:jc w:val="both"/>
        <w:divId w:val="1878085532"/>
        <w:rPr>
          <w:sz w:val="20"/>
          <w:szCs w:val="20"/>
        </w:rPr>
      </w:pPr>
      <w:r>
        <w:rPr>
          <w:sz w:val="20"/>
          <w:szCs w:val="20"/>
        </w:rPr>
        <w:t> </w:t>
      </w:r>
    </w:p>
    <w:p w:rsidR="00000000" w:rsidRDefault="006D723D">
      <w:pPr>
        <w:pStyle w:val="a3"/>
        <w:spacing w:before="40" w:beforeAutospacing="0" w:after="0" w:afterAutospacing="0"/>
        <w:ind w:left="476"/>
        <w:jc w:val="both"/>
        <w:divId w:val="1878085532"/>
        <w:rPr>
          <w:sz w:val="20"/>
          <w:szCs w:val="20"/>
        </w:rPr>
      </w:pPr>
      <w:r>
        <w:rPr>
          <w:sz w:val="20"/>
          <w:szCs w:val="20"/>
        </w:rPr>
        <w:t> </w:t>
      </w:r>
    </w:p>
    <w:p w:rsidR="00000000" w:rsidRDefault="006D723D">
      <w:pPr>
        <w:pStyle w:val="a3"/>
        <w:spacing w:before="0" w:beforeAutospacing="0" w:after="0" w:afterAutospacing="0"/>
        <w:ind w:left="476"/>
        <w:jc w:val="both"/>
        <w:divId w:val="1878085532"/>
        <w:rPr>
          <w:sz w:val="20"/>
          <w:szCs w:val="20"/>
        </w:rPr>
      </w:pPr>
      <w:r>
        <w:rPr>
          <w:sz w:val="13"/>
          <w:szCs w:val="13"/>
          <w:vertAlign w:val="superscript"/>
        </w:rPr>
        <w:t>(1)</w:t>
      </w:r>
      <w:r>
        <w:rPr>
          <w:sz w:val="13"/>
          <w:szCs w:val="13"/>
          <w:vertAlign w:val="superscript"/>
        </w:rPr>
        <w:t xml:space="preserve"> </w:t>
      </w:r>
      <w:r>
        <w:rPr>
          <w:sz w:val="20"/>
          <w:szCs w:val="20"/>
        </w:rPr>
        <w:t>$</w:t>
      </w:r>
      <w:r>
        <w:rPr>
          <w:sz w:val="20"/>
          <w:szCs w:val="20"/>
        </w:rPr>
        <w:t>0.04074</w:t>
      </w:r>
      <w:r>
        <w:rPr>
          <w:sz w:val="20"/>
          <w:szCs w:val="20"/>
        </w:rPr>
        <w:t>5</w:t>
      </w:r>
      <w:r>
        <w:rPr>
          <w:sz w:val="20"/>
          <w:szCs w:val="20"/>
        </w:rPr>
        <w:t xml:space="preserve"> of this amount constitutes a "Qualified Dividend", as defined by the IRS</w:t>
      </w:r>
      <w:r>
        <w:rPr>
          <w:sz w:val="20"/>
          <w:szCs w:val="20"/>
        </w:rPr>
        <w:t>.</w:t>
      </w:r>
    </w:p>
    <w:p w:rsidR="00000000" w:rsidRDefault="006D723D">
      <w:pPr>
        <w:pStyle w:val="a3"/>
        <w:spacing w:before="0" w:beforeAutospacing="0" w:after="0" w:afterAutospacing="0"/>
        <w:ind w:left="476"/>
        <w:jc w:val="both"/>
        <w:divId w:val="1416126883"/>
        <w:rPr>
          <w:sz w:val="20"/>
          <w:szCs w:val="20"/>
        </w:rPr>
      </w:pPr>
      <w:r>
        <w:rPr>
          <w:sz w:val="20"/>
          <w:szCs w:val="20"/>
        </w:rPr>
        <w:t> </w:t>
      </w:r>
    </w:p>
    <w:p w:rsidR="00000000" w:rsidRDefault="006D723D">
      <w:pPr>
        <w:pStyle w:val="a3"/>
        <w:spacing w:before="240" w:beforeAutospacing="0" w:after="0" w:afterAutospacing="0"/>
        <w:ind w:left="476"/>
        <w:jc w:val="both"/>
        <w:divId w:val="1416126883"/>
        <w:rPr>
          <w:sz w:val="20"/>
          <w:szCs w:val="20"/>
        </w:rPr>
      </w:pPr>
      <w:r>
        <w:rPr>
          <w:sz w:val="20"/>
          <w:szCs w:val="20"/>
        </w:rPr>
        <w:t xml:space="preserve">As further discussed in Note 1, on August 5, 2020, the BOD voted unanimously to approve a plan to revoke the Company’s REIT election and become a taxable C Corporation, effective January 1, 2021; the BOD also voted unanimously to discontinue the quarterly </w:t>
      </w:r>
      <w:r>
        <w:rPr>
          <w:sz w:val="20"/>
          <w:szCs w:val="20"/>
        </w:rPr>
        <w:t>dividend and prioritize allocating the Company's free cash flow to reduce debt levels</w:t>
      </w:r>
      <w:r>
        <w:rPr>
          <w:sz w:val="20"/>
          <w:szCs w:val="20"/>
        </w:rPr>
        <w:t>.</w:t>
      </w:r>
    </w:p>
    <w:p w:rsidR="00000000" w:rsidRDefault="006D723D">
      <w:pPr>
        <w:pStyle w:val="a3"/>
        <w:spacing w:before="0" w:beforeAutospacing="0" w:after="0" w:afterAutospacing="0"/>
        <w:jc w:val="center"/>
        <w:divId w:val="1416126883"/>
        <w:rPr>
          <w:sz w:val="20"/>
          <w:szCs w:val="20"/>
        </w:rPr>
      </w:pPr>
      <w:r>
        <w:rPr>
          <w:sz w:val="20"/>
          <w:szCs w:val="20"/>
        </w:rPr>
        <w:t>F</w:t>
      </w:r>
      <w:r>
        <w:rPr>
          <w:sz w:val="20"/>
          <w:szCs w:val="20"/>
        </w:rPr>
        <w:t>-</w:t>
      </w:r>
      <w:r>
        <w:rPr>
          <w:sz w:val="20"/>
          <w:szCs w:val="20"/>
        </w:rPr>
        <w:t>3</w:t>
      </w:r>
      <w:r>
        <w:rPr>
          <w:sz w:val="20"/>
          <w:szCs w:val="20"/>
        </w:rPr>
        <w:t>1</w:t>
      </w:r>
    </w:p>
    <w:p w:rsidR="00000000" w:rsidRDefault="006D723D">
      <w:pPr>
        <w:divId w:val="1416126883"/>
        <w:rPr>
          <w:rFonts w:eastAsia="Times New Roman"/>
        </w:rPr>
      </w:pPr>
      <w:r>
        <w:rPr>
          <w:rFonts w:eastAsia="Times New Roman"/>
        </w:rPr>
        <w:pict>
          <v:rect id="_x0000_i1159" style="width:0;height:1.5pt" o:hralign="center" o:hrstd="t" o:hr="t" fillcolor="#a0a0a0" stroked="f"/>
        </w:pict>
      </w:r>
    </w:p>
    <w:p w:rsidR="00000000" w:rsidRDefault="006D723D">
      <w:pPr>
        <w:pStyle w:val="a3"/>
        <w:spacing w:before="0" w:beforeAutospacing="0" w:after="0" w:afterAutospacing="0"/>
        <w:divId w:val="1416126883"/>
        <w:rPr>
          <w:sz w:val="20"/>
          <w:szCs w:val="20"/>
        </w:rPr>
      </w:pPr>
      <w:r>
        <w:rPr>
          <w:sz w:val="20"/>
          <w:szCs w:val="20"/>
        </w:rPr>
        <w:t> </w:t>
      </w:r>
    </w:p>
    <w:p w:rsidR="00000000" w:rsidRDefault="006D723D">
      <w:pPr>
        <w:pStyle w:val="a3"/>
        <w:spacing w:before="360" w:beforeAutospacing="0" w:after="0" w:afterAutospacing="0"/>
        <w:ind w:left="476"/>
        <w:jc w:val="both"/>
        <w:divId w:val="1416126883"/>
        <w:rPr>
          <w:sz w:val="20"/>
          <w:szCs w:val="20"/>
        </w:rPr>
      </w:pPr>
      <w:r>
        <w:rPr>
          <w:b/>
          <w:bCs/>
          <w:sz w:val="20"/>
          <w:szCs w:val="20"/>
        </w:rPr>
        <w:t>Common Stoc</w:t>
      </w:r>
      <w:r>
        <w:rPr>
          <w:b/>
          <w:bCs/>
          <w:sz w:val="20"/>
          <w:szCs w:val="20"/>
        </w:rPr>
        <w:t>k</w:t>
      </w:r>
    </w:p>
    <w:p w:rsidR="00000000" w:rsidRDefault="006D723D">
      <w:pPr>
        <w:pStyle w:val="a3"/>
        <w:spacing w:before="120" w:beforeAutospacing="0" w:after="0" w:afterAutospacing="0"/>
        <w:ind w:left="476"/>
        <w:jc w:val="both"/>
        <w:divId w:val="1416126883"/>
        <w:rPr>
          <w:sz w:val="20"/>
          <w:szCs w:val="20"/>
        </w:rPr>
      </w:pPr>
      <w:r>
        <w:rPr>
          <w:i/>
          <w:iCs/>
          <w:sz w:val="20"/>
          <w:szCs w:val="20"/>
        </w:rPr>
        <w:t>Share Repurchase Program.</w:t>
      </w:r>
      <w:r>
        <w:rPr>
          <w:i/>
          <w:iCs/>
          <w:sz w:val="20"/>
          <w:szCs w:val="20"/>
        </w:rPr>
        <w:t xml:space="preserve"> </w:t>
      </w:r>
      <w:r>
        <w:rPr>
          <w:sz w:val="20"/>
          <w:szCs w:val="20"/>
        </w:rPr>
        <w:t xml:space="preserve">On May 12, 2022, the Board of Directors ("BOD") approved a share repurchase program to </w:t>
      </w:r>
      <w:r>
        <w:rPr>
          <w:sz w:val="20"/>
          <w:szCs w:val="20"/>
        </w:rPr>
        <w:t xml:space="preserve">repurchase up to </w:t>
      </w:r>
      <w:r>
        <w:rPr>
          <w:sz w:val="20"/>
          <w:szCs w:val="20"/>
        </w:rPr>
        <w:t>$</w:t>
      </w:r>
      <w:r>
        <w:rPr>
          <w:sz w:val="20"/>
          <w:szCs w:val="20"/>
        </w:rPr>
        <w:t>150.</w:t>
      </w:r>
      <w:r>
        <w:rPr>
          <w:sz w:val="20"/>
          <w:szCs w:val="20"/>
        </w:rPr>
        <w:t>0</w:t>
      </w:r>
      <w:r>
        <w:rPr>
          <w:sz w:val="20"/>
          <w:szCs w:val="20"/>
        </w:rPr>
        <w:t xml:space="preserve"> million of the Company's common stock. On August 2, 2022, the BOD increased the authorization to repurchase under the share repurchase program by up to an additional </w:t>
      </w:r>
      <w:r>
        <w:rPr>
          <w:sz w:val="20"/>
          <w:szCs w:val="20"/>
        </w:rPr>
        <w:t>$</w:t>
      </w:r>
      <w:r>
        <w:rPr>
          <w:sz w:val="20"/>
          <w:szCs w:val="20"/>
        </w:rPr>
        <w:t>75.</w:t>
      </w:r>
      <w:r>
        <w:rPr>
          <w:sz w:val="20"/>
          <w:szCs w:val="20"/>
        </w:rPr>
        <w:t>0</w:t>
      </w:r>
      <w:r>
        <w:rPr>
          <w:sz w:val="20"/>
          <w:szCs w:val="20"/>
        </w:rPr>
        <w:t xml:space="preserve"> million of the Company's common stock, or a total aggregate </w:t>
      </w:r>
      <w:r>
        <w:rPr>
          <w:sz w:val="20"/>
          <w:szCs w:val="20"/>
        </w:rPr>
        <w:t xml:space="preserve">authorized amount to repurchase up to </w:t>
      </w:r>
      <w:r>
        <w:rPr>
          <w:sz w:val="20"/>
          <w:szCs w:val="20"/>
        </w:rPr>
        <w:t>$</w:t>
      </w:r>
      <w:r>
        <w:rPr>
          <w:sz w:val="20"/>
          <w:szCs w:val="20"/>
        </w:rPr>
        <w:t>225.</w:t>
      </w:r>
      <w:r>
        <w:rPr>
          <w:sz w:val="20"/>
          <w:szCs w:val="20"/>
        </w:rPr>
        <w:t>0</w:t>
      </w:r>
      <w:r>
        <w:rPr>
          <w:sz w:val="20"/>
          <w:szCs w:val="20"/>
        </w:rPr>
        <w:t xml:space="preserve"> million of the Company's common stock. Repurchases of the Company's outstanding common stock will be made in accordance with applicable securities laws and may be made at the Company's discretion based on parame</w:t>
      </w:r>
      <w:r>
        <w:rPr>
          <w:sz w:val="20"/>
          <w:szCs w:val="20"/>
        </w:rPr>
        <w:t>ters set by the BOD from time to time in the open market, through privately negotiated transactions, or otherwise. The share repurchase program has no time limit and does not obligate the Company to purchase any particular amount of its common stock. The a</w:t>
      </w:r>
      <w:r>
        <w:rPr>
          <w:sz w:val="20"/>
          <w:szCs w:val="20"/>
        </w:rPr>
        <w:t>uthorization for the share repurchase program may be terminated, suspended, increased or decreased by the BOD in its discretion at any time. Through December 31, 2022, the Company completed the repurchase of</w:t>
      </w:r>
      <w:r>
        <w:rPr>
          <w:sz w:val="20"/>
          <w:szCs w:val="20"/>
        </w:rPr>
        <w:t xml:space="preserve"> </w:t>
      </w:r>
      <w:r>
        <w:rPr>
          <w:sz w:val="20"/>
          <w:szCs w:val="20"/>
        </w:rPr>
        <w:t>6.</w:t>
      </w:r>
      <w:r>
        <w:rPr>
          <w:sz w:val="20"/>
          <w:szCs w:val="20"/>
        </w:rPr>
        <w:t>6</w:t>
      </w:r>
      <w:r>
        <w:rPr>
          <w:sz w:val="20"/>
          <w:szCs w:val="20"/>
        </w:rPr>
        <w:t xml:space="preserve"> million shares at a total cost of </w:t>
      </w:r>
      <w:r>
        <w:rPr>
          <w:sz w:val="20"/>
          <w:szCs w:val="20"/>
        </w:rPr>
        <w:t>$</w:t>
      </w:r>
      <w:r>
        <w:rPr>
          <w:sz w:val="20"/>
          <w:szCs w:val="20"/>
        </w:rPr>
        <w:t>74.</w:t>
      </w:r>
      <w:r>
        <w:rPr>
          <w:sz w:val="20"/>
          <w:szCs w:val="20"/>
        </w:rPr>
        <w:t>5</w:t>
      </w:r>
      <w:r>
        <w:rPr>
          <w:sz w:val="20"/>
          <w:szCs w:val="20"/>
        </w:rPr>
        <w:t xml:space="preserve"> mill</w:t>
      </w:r>
      <w:r>
        <w:rPr>
          <w:sz w:val="20"/>
          <w:szCs w:val="20"/>
        </w:rPr>
        <w:t>ion, excluding costs associated with the share repurchase program. The Company has utilized cash on hand and net cash provided by operations to fund the repurchases</w:t>
      </w:r>
      <w:r>
        <w:rPr>
          <w:sz w:val="20"/>
          <w:szCs w:val="20"/>
        </w:rPr>
        <w:t>.</w:t>
      </w:r>
    </w:p>
    <w:p w:rsidR="00000000" w:rsidRDefault="006D723D">
      <w:pPr>
        <w:pStyle w:val="a3"/>
        <w:spacing w:before="120" w:beforeAutospacing="0" w:after="0" w:afterAutospacing="0"/>
        <w:ind w:left="476"/>
        <w:jc w:val="both"/>
        <w:divId w:val="1416126883"/>
        <w:rPr>
          <w:sz w:val="20"/>
          <w:szCs w:val="20"/>
        </w:rPr>
      </w:pPr>
      <w:r>
        <w:rPr>
          <w:i/>
          <w:iCs/>
          <w:sz w:val="20"/>
          <w:szCs w:val="20"/>
        </w:rPr>
        <w:t>Restricted stock units</w:t>
      </w:r>
      <w:r>
        <w:rPr>
          <w:i/>
          <w:iCs/>
          <w:sz w:val="20"/>
          <w:szCs w:val="20"/>
        </w:rPr>
        <w:t>.</w:t>
      </w:r>
      <w:r>
        <w:rPr>
          <w:sz w:val="20"/>
          <w:szCs w:val="20"/>
        </w:rPr>
        <w:t xml:space="preserve"> During 2022, CoreCivic issued approximately</w:t>
      </w:r>
      <w:r>
        <w:rPr>
          <w:sz w:val="20"/>
          <w:szCs w:val="20"/>
        </w:rPr>
        <w:t xml:space="preserve"> </w:t>
      </w:r>
      <w:r>
        <w:rPr>
          <w:sz w:val="20"/>
          <w:szCs w:val="20"/>
        </w:rPr>
        <w:t>2.</w:t>
      </w:r>
      <w:r>
        <w:rPr>
          <w:sz w:val="20"/>
          <w:szCs w:val="20"/>
        </w:rPr>
        <w:t>1</w:t>
      </w:r>
      <w:r>
        <w:rPr>
          <w:sz w:val="20"/>
          <w:szCs w:val="20"/>
        </w:rPr>
        <w:t xml:space="preserve"> million RSUs to ce</w:t>
      </w:r>
      <w:r>
        <w:rPr>
          <w:sz w:val="20"/>
          <w:szCs w:val="20"/>
        </w:rPr>
        <w:t>rtain of its employees and non-employee directors, with an aggregate value of</w:t>
      </w:r>
      <w:r>
        <w:rPr>
          <w:sz w:val="20"/>
          <w:szCs w:val="20"/>
        </w:rPr>
        <w:t xml:space="preserve"> </w:t>
      </w:r>
      <w:r>
        <w:rPr>
          <w:sz w:val="20"/>
          <w:szCs w:val="20"/>
        </w:rPr>
        <w:t>$</w:t>
      </w:r>
      <w:r>
        <w:rPr>
          <w:sz w:val="20"/>
          <w:szCs w:val="20"/>
        </w:rPr>
        <w:t>21.</w:t>
      </w:r>
      <w:r>
        <w:rPr>
          <w:sz w:val="20"/>
          <w:szCs w:val="20"/>
        </w:rPr>
        <w:t>5</w:t>
      </w:r>
      <w:r>
        <w:rPr>
          <w:sz w:val="20"/>
          <w:szCs w:val="20"/>
        </w:rPr>
        <w:t xml:space="preserve"> millio</w:t>
      </w:r>
      <w:r>
        <w:rPr>
          <w:sz w:val="20"/>
          <w:szCs w:val="20"/>
        </w:rPr>
        <w:t>n</w:t>
      </w:r>
      <w:r>
        <w:rPr>
          <w:sz w:val="20"/>
          <w:szCs w:val="20"/>
        </w:rPr>
        <w:t>, including</w:t>
      </w:r>
      <w:r>
        <w:rPr>
          <w:sz w:val="20"/>
          <w:szCs w:val="20"/>
        </w:rPr>
        <w:t xml:space="preserve"> </w:t>
      </w:r>
      <w:r>
        <w:rPr>
          <w:sz w:val="20"/>
          <w:szCs w:val="20"/>
        </w:rPr>
        <w:t>1.</w:t>
      </w:r>
      <w:r>
        <w:rPr>
          <w:sz w:val="20"/>
          <w:szCs w:val="20"/>
        </w:rPr>
        <w:t>9</w:t>
      </w:r>
      <w:r>
        <w:rPr>
          <w:sz w:val="20"/>
          <w:szCs w:val="20"/>
        </w:rPr>
        <w:t xml:space="preserve"> million RSUs to employees and non-employee directors whose compensation is charged to general and administrative expense and</w:t>
      </w:r>
      <w:r>
        <w:rPr>
          <w:sz w:val="20"/>
          <w:szCs w:val="20"/>
        </w:rPr>
        <w:t xml:space="preserve"> </w:t>
      </w:r>
      <w:r>
        <w:rPr>
          <w:sz w:val="20"/>
          <w:szCs w:val="20"/>
        </w:rPr>
        <w:t>0.</w:t>
      </w:r>
      <w:r>
        <w:rPr>
          <w:sz w:val="20"/>
          <w:szCs w:val="20"/>
        </w:rPr>
        <w:t>2</w:t>
      </w:r>
      <w:r>
        <w:rPr>
          <w:sz w:val="20"/>
          <w:szCs w:val="20"/>
        </w:rPr>
        <w:t xml:space="preserve"> million RSUs to empl</w:t>
      </w:r>
      <w:r>
        <w:rPr>
          <w:sz w:val="20"/>
          <w:szCs w:val="20"/>
        </w:rPr>
        <w:t>oyees whose compensation is charged to operating expense. During 2021, CoreCivic issued approximately</w:t>
      </w:r>
      <w:r>
        <w:rPr>
          <w:sz w:val="20"/>
          <w:szCs w:val="20"/>
        </w:rPr>
        <w:t xml:space="preserve"> </w:t>
      </w:r>
      <w:r>
        <w:rPr>
          <w:sz w:val="20"/>
          <w:szCs w:val="20"/>
        </w:rPr>
        <w:t>2.</w:t>
      </w:r>
      <w:r>
        <w:rPr>
          <w:sz w:val="20"/>
          <w:szCs w:val="20"/>
        </w:rPr>
        <w:t>7</w:t>
      </w:r>
      <w:r>
        <w:rPr>
          <w:sz w:val="20"/>
          <w:szCs w:val="20"/>
        </w:rPr>
        <w:t xml:space="preserve"> million RSUs to certain of its employees and non-employee directors, with an aggregate value of </w:t>
      </w:r>
      <w:r>
        <w:rPr>
          <w:sz w:val="20"/>
          <w:szCs w:val="20"/>
        </w:rPr>
        <w:t>$</w:t>
      </w:r>
      <w:r>
        <w:rPr>
          <w:sz w:val="20"/>
          <w:szCs w:val="20"/>
        </w:rPr>
        <w:t>21.</w:t>
      </w:r>
      <w:r>
        <w:rPr>
          <w:sz w:val="20"/>
          <w:szCs w:val="20"/>
        </w:rPr>
        <w:t>8</w:t>
      </w:r>
      <w:r>
        <w:rPr>
          <w:sz w:val="20"/>
          <w:szCs w:val="20"/>
        </w:rPr>
        <w:t xml:space="preserve"> million, including</w:t>
      </w:r>
      <w:r>
        <w:rPr>
          <w:sz w:val="20"/>
          <w:szCs w:val="20"/>
        </w:rPr>
        <w:t xml:space="preserve"> </w:t>
      </w:r>
      <w:r>
        <w:rPr>
          <w:sz w:val="20"/>
          <w:szCs w:val="20"/>
        </w:rPr>
        <w:t>2.</w:t>
      </w:r>
      <w:r>
        <w:rPr>
          <w:sz w:val="20"/>
          <w:szCs w:val="20"/>
        </w:rPr>
        <w:t>5</w:t>
      </w:r>
      <w:r>
        <w:rPr>
          <w:sz w:val="20"/>
          <w:szCs w:val="20"/>
        </w:rPr>
        <w:t xml:space="preserve"> million RSUs to employees</w:t>
      </w:r>
      <w:r>
        <w:rPr>
          <w:sz w:val="20"/>
          <w:szCs w:val="20"/>
        </w:rPr>
        <w:t xml:space="preserve"> and non-employee directors whose compensation is charged to general and administrative expense and</w:t>
      </w:r>
      <w:r>
        <w:rPr>
          <w:sz w:val="20"/>
          <w:szCs w:val="20"/>
        </w:rPr>
        <w:t xml:space="preserve"> </w:t>
      </w:r>
      <w:r>
        <w:rPr>
          <w:sz w:val="20"/>
          <w:szCs w:val="20"/>
        </w:rPr>
        <w:t>0.</w:t>
      </w:r>
      <w:r>
        <w:rPr>
          <w:sz w:val="20"/>
          <w:szCs w:val="20"/>
        </w:rPr>
        <w:t>2</w:t>
      </w:r>
      <w:r>
        <w:rPr>
          <w:sz w:val="20"/>
          <w:szCs w:val="20"/>
        </w:rPr>
        <w:t xml:space="preserve"> million RSUs to employees whose compensation is charged to operating expense</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1416126883"/>
        <w:rPr>
          <w:sz w:val="20"/>
          <w:szCs w:val="20"/>
        </w:rPr>
      </w:pPr>
      <w:r>
        <w:rPr>
          <w:sz w:val="20"/>
          <w:szCs w:val="20"/>
        </w:rPr>
        <w:t>CoreCivic has established performance-based vesting conditions on a porti</w:t>
      </w:r>
      <w:r>
        <w:rPr>
          <w:sz w:val="20"/>
          <w:szCs w:val="20"/>
        </w:rPr>
        <w:t>on of the RSUs awarded to its officers and executive officers that, unless earlier vested under the terms of the agreements, are subject to vesting over a three-year period based upon the satisfaction of certain annual performance criteria.</w:t>
      </w:r>
      <w:r>
        <w:rPr>
          <w:sz w:val="20"/>
          <w:szCs w:val="20"/>
        </w:rPr>
        <w:t xml:space="preserve"> </w:t>
      </w:r>
      <w:r>
        <w:rPr>
          <w:sz w:val="20"/>
          <w:szCs w:val="20"/>
        </w:rPr>
        <w:t>The RSUs awarde</w:t>
      </w:r>
      <w:r>
        <w:rPr>
          <w:sz w:val="20"/>
          <w:szCs w:val="20"/>
        </w:rPr>
        <w:t>d to officers and executive officers in 2020, 2021 and 2022 consist of a combination of awards with performance-based conditions and time-based conditions. Unless earlier vested under the terms of the RSU agreements, the RSUs with time-based vesting condit</w:t>
      </w:r>
      <w:r>
        <w:rPr>
          <w:sz w:val="20"/>
          <w:szCs w:val="20"/>
        </w:rPr>
        <w:t>ions vest in equal amounts over three years on the later of (i) the anniversary date of the grant or (ii) the delivery of the audited financial statements by the Company's independent registered public accountant for the applicable fiscal year. The RSUs wi</w:t>
      </w:r>
      <w:r>
        <w:rPr>
          <w:sz w:val="20"/>
          <w:szCs w:val="20"/>
        </w:rPr>
        <w:t>th performance-based vesting conditions are divided into one-third increments, each of which is subject to vesting based upon satisfaction of certain annual performance criteria established at the beginning of the fiscal years ending December 31, 2020, 202</w:t>
      </w:r>
      <w:r>
        <w:rPr>
          <w:sz w:val="20"/>
          <w:szCs w:val="20"/>
        </w:rPr>
        <w:t>1, and 2022 for the 2020 awards, December 31, 2021, 2022, and 2023 for the 2021 awards, and December 31, 2022, 2023, and 2024 for the 2022 awards, and which can be increased up to</w:t>
      </w:r>
      <w:r>
        <w:rPr>
          <w:sz w:val="20"/>
          <w:szCs w:val="20"/>
        </w:rPr>
        <w:t xml:space="preserve"> </w:t>
      </w:r>
      <w:r>
        <w:rPr>
          <w:sz w:val="20"/>
          <w:szCs w:val="20"/>
        </w:rPr>
        <w:t>15</w:t>
      </w:r>
      <w:r>
        <w:rPr>
          <w:sz w:val="20"/>
          <w:szCs w:val="20"/>
        </w:rPr>
        <w:t>0</w:t>
      </w:r>
      <w:r>
        <w:rPr>
          <w:sz w:val="20"/>
          <w:szCs w:val="20"/>
        </w:rPr>
        <w:t>% or decreased to</w:t>
      </w:r>
      <w:r>
        <w:rPr>
          <w:sz w:val="20"/>
          <w:szCs w:val="20"/>
        </w:rPr>
        <w:t xml:space="preserve"> </w:t>
      </w:r>
      <w:r>
        <w:rPr>
          <w:sz w:val="20"/>
          <w:szCs w:val="20"/>
        </w:rPr>
        <w:t>0</w:t>
      </w:r>
      <w:r>
        <w:rPr>
          <w:sz w:val="20"/>
          <w:szCs w:val="20"/>
        </w:rPr>
        <w:t>% based on performance relative to the annual performa</w:t>
      </w:r>
      <w:r>
        <w:rPr>
          <w:sz w:val="20"/>
          <w:szCs w:val="20"/>
        </w:rPr>
        <w:t>nce criteria, and further increased or decreased using a modifier of</w:t>
      </w:r>
      <w:r>
        <w:rPr>
          <w:sz w:val="20"/>
          <w:szCs w:val="20"/>
        </w:rPr>
        <w:t xml:space="preserve"> </w:t>
      </w:r>
      <w:r>
        <w:rPr>
          <w:sz w:val="20"/>
          <w:szCs w:val="20"/>
        </w:rPr>
        <w:t>8</w:t>
      </w:r>
      <w:r>
        <w:rPr>
          <w:sz w:val="20"/>
          <w:szCs w:val="20"/>
        </w:rPr>
        <w:t>0</w:t>
      </w:r>
      <w:r>
        <w:rPr>
          <w:sz w:val="20"/>
          <w:szCs w:val="20"/>
        </w:rPr>
        <w:t>% to</w:t>
      </w:r>
      <w:r>
        <w:rPr>
          <w:sz w:val="20"/>
          <w:szCs w:val="20"/>
        </w:rPr>
        <w:t xml:space="preserve"> </w:t>
      </w:r>
      <w:r>
        <w:rPr>
          <w:sz w:val="20"/>
          <w:szCs w:val="20"/>
        </w:rPr>
        <w:t>12</w:t>
      </w:r>
      <w:r>
        <w:rPr>
          <w:sz w:val="20"/>
          <w:szCs w:val="20"/>
        </w:rPr>
        <w:t>0</w:t>
      </w:r>
      <w:r>
        <w:rPr>
          <w:sz w:val="20"/>
          <w:szCs w:val="20"/>
        </w:rPr>
        <w:t>% based on CoreCivic's total shareholder return relative to a peer group.</w:t>
      </w:r>
      <w:r>
        <w:rPr>
          <w:sz w:val="20"/>
          <w:szCs w:val="20"/>
        </w:rPr>
        <w:t xml:space="preserve"> </w:t>
      </w:r>
      <w:r>
        <w:rPr>
          <w:sz w:val="20"/>
          <w:szCs w:val="20"/>
        </w:rPr>
        <w:t>Based on performance achieved for 2022, the RSUs subject to performance-based vesting criteria were dec</w:t>
      </w:r>
      <w:r>
        <w:rPr>
          <w:sz w:val="20"/>
          <w:szCs w:val="20"/>
        </w:rPr>
        <w:t>reased by</w:t>
      </w:r>
      <w:r>
        <w:rPr>
          <w:sz w:val="20"/>
          <w:szCs w:val="20"/>
        </w:rPr>
        <w:t xml:space="preserve"> </w:t>
      </w:r>
      <w:r>
        <w:rPr>
          <w:sz w:val="20"/>
          <w:szCs w:val="20"/>
        </w:rPr>
        <w:t>45.</w:t>
      </w:r>
      <w:r>
        <w:rPr>
          <w:sz w:val="20"/>
          <w:szCs w:val="20"/>
        </w:rPr>
        <w:t>6</w:t>
      </w:r>
      <w:r>
        <w:rPr>
          <w:sz w:val="20"/>
          <w:szCs w:val="20"/>
        </w:rPr>
        <w:t>%; however, the decrease was partially offset by a</w:t>
      </w:r>
      <w:r>
        <w:rPr>
          <w:sz w:val="20"/>
          <w:szCs w:val="20"/>
        </w:rPr>
        <w:t xml:space="preserve"> </w:t>
      </w:r>
      <w:r>
        <w:rPr>
          <w:sz w:val="20"/>
          <w:szCs w:val="20"/>
        </w:rPr>
        <w:t>12</w:t>
      </w:r>
      <w:r>
        <w:rPr>
          <w:sz w:val="20"/>
          <w:szCs w:val="20"/>
        </w:rPr>
        <w:t>0</w:t>
      </w:r>
      <w:r>
        <w:rPr>
          <w:sz w:val="20"/>
          <w:szCs w:val="20"/>
        </w:rPr>
        <w:t>% modifier based on CoreCivic's total shareholder return relative to the peer group.</w:t>
      </w:r>
      <w:r>
        <w:rPr>
          <w:sz w:val="20"/>
          <w:szCs w:val="20"/>
        </w:rPr>
        <w:t xml:space="preserve"> </w:t>
      </w:r>
      <w:r>
        <w:rPr>
          <w:sz w:val="20"/>
          <w:szCs w:val="20"/>
        </w:rPr>
        <w:t>Because the performance criteria for the fiscal years ending December 31, 2023 and 2024 have not yet be</w:t>
      </w:r>
      <w:r>
        <w:rPr>
          <w:sz w:val="20"/>
          <w:szCs w:val="20"/>
        </w:rPr>
        <w:t>en established, the values of the third RSU increment of the 2021 awards and of the second and third increments of the 2022 awards for financial reporting purposes will not be determined until such criteria are established</w:t>
      </w:r>
      <w:r>
        <w:rPr>
          <w:sz w:val="20"/>
          <w:szCs w:val="20"/>
        </w:rPr>
        <w:t>.</w:t>
      </w:r>
      <w:r>
        <w:rPr>
          <w:sz w:val="20"/>
          <w:szCs w:val="20"/>
        </w:rPr>
        <w:t xml:space="preserve"> Time-based RSUs issued to other </w:t>
      </w:r>
      <w:r>
        <w:rPr>
          <w:sz w:val="20"/>
          <w:szCs w:val="20"/>
        </w:rPr>
        <w:t>employees, unless earlier vested under the terms of the agreements, generally vest in equal amounts over three years on the later of (i) the anniversary date of the grant or (ii) the delivery of the audited financial statements by the Company's independent</w:t>
      </w:r>
      <w:r>
        <w:rPr>
          <w:sz w:val="20"/>
          <w:szCs w:val="20"/>
        </w:rPr>
        <w:t xml:space="preserve"> registered public accountant for the applicable fiscal year. RSUs issued to non-employee directors generally vest one year from the date of award</w:t>
      </w:r>
      <w:r>
        <w:rPr>
          <w:sz w:val="20"/>
          <w:szCs w:val="20"/>
        </w:rPr>
        <w:t>.</w:t>
      </w:r>
      <w:r>
        <w:rPr>
          <w:sz w:val="20"/>
          <w:szCs w:val="20"/>
        </w:rPr>
        <w:t xml:space="preserve"> </w:t>
      </w:r>
    </w:p>
    <w:p w:rsidR="00000000" w:rsidRDefault="006D723D">
      <w:pPr>
        <w:pStyle w:val="a3"/>
        <w:spacing w:before="0" w:beforeAutospacing="0" w:after="0" w:afterAutospacing="0"/>
        <w:jc w:val="center"/>
        <w:divId w:val="1416126883"/>
        <w:rPr>
          <w:sz w:val="20"/>
          <w:szCs w:val="20"/>
        </w:rPr>
      </w:pPr>
      <w:r>
        <w:rPr>
          <w:sz w:val="20"/>
          <w:szCs w:val="20"/>
        </w:rPr>
        <w:t>F</w:t>
      </w:r>
      <w:r>
        <w:rPr>
          <w:sz w:val="20"/>
          <w:szCs w:val="20"/>
        </w:rPr>
        <w:t>-</w:t>
      </w:r>
      <w:r>
        <w:rPr>
          <w:sz w:val="20"/>
          <w:szCs w:val="20"/>
        </w:rPr>
        <w:t>3</w:t>
      </w:r>
      <w:r>
        <w:rPr>
          <w:sz w:val="20"/>
          <w:szCs w:val="20"/>
        </w:rPr>
        <w:t>2</w:t>
      </w:r>
    </w:p>
    <w:p w:rsidR="00000000" w:rsidRDefault="006D723D">
      <w:pPr>
        <w:divId w:val="1416126883"/>
        <w:rPr>
          <w:rFonts w:eastAsia="Times New Roman"/>
        </w:rPr>
      </w:pPr>
      <w:r>
        <w:rPr>
          <w:rFonts w:eastAsia="Times New Roman"/>
        </w:rPr>
        <w:pict>
          <v:rect id="_x0000_i1160" style="width:0;height:1.5pt" o:hralign="center" o:hrstd="t" o:hr="t" fillcolor="#a0a0a0" stroked="f"/>
        </w:pict>
      </w:r>
    </w:p>
    <w:p w:rsidR="00000000" w:rsidRDefault="006D723D">
      <w:pPr>
        <w:pStyle w:val="a3"/>
        <w:spacing w:before="0" w:beforeAutospacing="0" w:after="0" w:afterAutospacing="0"/>
        <w:divId w:val="1416126883"/>
        <w:rPr>
          <w:sz w:val="20"/>
          <w:szCs w:val="20"/>
        </w:rPr>
      </w:pPr>
      <w:r>
        <w:rPr>
          <w:sz w:val="20"/>
          <w:szCs w:val="20"/>
        </w:rPr>
        <w:t> </w:t>
      </w:r>
    </w:p>
    <w:p w:rsidR="00000000" w:rsidRDefault="006D723D">
      <w:pPr>
        <w:pStyle w:val="a3"/>
        <w:spacing w:before="240" w:beforeAutospacing="0" w:after="120" w:afterAutospacing="0"/>
        <w:ind w:left="476"/>
        <w:jc w:val="both"/>
        <w:divId w:val="1987123615"/>
        <w:rPr>
          <w:sz w:val="20"/>
          <w:szCs w:val="20"/>
        </w:rPr>
      </w:pPr>
      <w:r>
        <w:rPr>
          <w:sz w:val="20"/>
          <w:szCs w:val="20"/>
        </w:rPr>
        <w:t>Nonvested RSU transactions as of</w:t>
      </w:r>
      <w:r>
        <w:rPr>
          <w:sz w:val="20"/>
          <w:szCs w:val="20"/>
        </w:rPr>
        <w:t xml:space="preserve"> </w:t>
      </w:r>
      <w:r>
        <w:rPr>
          <w:sz w:val="20"/>
          <w:szCs w:val="20"/>
        </w:rPr>
        <w:t>December 31, 2022 and for the y</w:t>
      </w:r>
      <w:r>
        <w:rPr>
          <w:sz w:val="20"/>
          <w:szCs w:val="20"/>
        </w:rPr>
        <w:t>ear then ended are summarized below (in thousands, except per share amounts)</w:t>
      </w:r>
      <w:r>
        <w:rPr>
          <w:sz w:val="20"/>
          <w:szCs w:val="20"/>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921"/>
        <w:gridCol w:w="152"/>
        <w:gridCol w:w="1117"/>
        <w:gridCol w:w="153"/>
        <w:gridCol w:w="1132"/>
      </w:tblGrid>
      <w:tr w:rsidR="00000000">
        <w:trPr>
          <w:divId w:val="1987123615"/>
          <w:tblCellSpacing w:w="15" w:type="dxa"/>
        </w:trPr>
        <w:tc>
          <w:tcPr>
            <w:tcW w:w="3340" w:type="pct"/>
            <w:vAlign w:val="center"/>
            <w:hideMark/>
          </w:tcPr>
          <w:p w:rsidR="00000000" w:rsidRDefault="006D723D">
            <w:pPr>
              <w:rPr>
                <w:sz w:val="20"/>
                <w:szCs w:val="20"/>
              </w:rPr>
            </w:pPr>
          </w:p>
        </w:tc>
        <w:tc>
          <w:tcPr>
            <w:tcW w:w="84" w:type="pct"/>
            <w:vAlign w:val="center"/>
            <w:hideMark/>
          </w:tcPr>
          <w:p w:rsidR="00000000" w:rsidRDefault="006D723D">
            <w:pPr>
              <w:rPr>
                <w:rFonts w:eastAsia="Times New Roman"/>
                <w:sz w:val="20"/>
                <w:szCs w:val="20"/>
              </w:rPr>
            </w:pPr>
          </w:p>
        </w:tc>
        <w:tc>
          <w:tcPr>
            <w:tcW w:w="744" w:type="pct"/>
            <w:vAlign w:val="center"/>
            <w:hideMark/>
          </w:tcPr>
          <w:p w:rsidR="00000000" w:rsidRDefault="006D723D">
            <w:pPr>
              <w:rPr>
                <w:rFonts w:eastAsia="Times New Roman"/>
                <w:sz w:val="20"/>
                <w:szCs w:val="20"/>
              </w:rPr>
            </w:pPr>
          </w:p>
        </w:tc>
        <w:tc>
          <w:tcPr>
            <w:tcW w:w="84" w:type="pct"/>
            <w:vAlign w:val="center"/>
            <w:hideMark/>
          </w:tcPr>
          <w:p w:rsidR="00000000" w:rsidRDefault="006D723D">
            <w:pPr>
              <w:rPr>
                <w:rFonts w:eastAsia="Times New Roman"/>
                <w:sz w:val="20"/>
                <w:szCs w:val="20"/>
              </w:rPr>
            </w:pPr>
          </w:p>
        </w:tc>
        <w:tc>
          <w:tcPr>
            <w:tcW w:w="744" w:type="pct"/>
            <w:vAlign w:val="center"/>
            <w:hideMark/>
          </w:tcPr>
          <w:p w:rsidR="00000000" w:rsidRDefault="006D723D">
            <w:pPr>
              <w:rPr>
                <w:rFonts w:eastAsia="Times New Roman"/>
                <w:sz w:val="20"/>
                <w:szCs w:val="20"/>
              </w:rPr>
            </w:pPr>
          </w:p>
        </w:tc>
      </w:tr>
      <w:tr w:rsidR="00000000">
        <w:trPr>
          <w:divId w:val="1987123615"/>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b/>
                <w:bCs/>
                <w:sz w:val="16"/>
                <w:szCs w:val="16"/>
              </w:rPr>
              <w:t>Shares of</w:t>
            </w:r>
            <w:r>
              <w:rPr>
                <w:b/>
                <w:bCs/>
                <w:sz w:val="16"/>
                <w:szCs w:val="16"/>
              </w:rPr>
              <w:br/>
              <w:t> RSU</w:t>
            </w:r>
            <w:r>
              <w:rPr>
                <w:b/>
                <w:bCs/>
                <w:sz w:val="16"/>
                <w:szCs w:val="16"/>
              </w:rPr>
              <w:t>s</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b/>
                <w:bCs/>
                <w:sz w:val="16"/>
                <w:szCs w:val="16"/>
              </w:rPr>
              <w:t>Weighted</w:t>
            </w:r>
            <w:r>
              <w:rPr>
                <w:b/>
                <w:bCs/>
                <w:sz w:val="16"/>
                <w:szCs w:val="16"/>
              </w:rPr>
              <w:br/>
              <w:t>average</w:t>
            </w:r>
            <w:r>
              <w:rPr>
                <w:b/>
                <w:bCs/>
                <w:sz w:val="16"/>
                <w:szCs w:val="16"/>
              </w:rPr>
              <w:br/>
              <w:t>grant date</w:t>
            </w:r>
            <w:r>
              <w:rPr>
                <w:b/>
                <w:bCs/>
                <w:sz w:val="16"/>
                <w:szCs w:val="16"/>
              </w:rPr>
              <w:br/>
              <w:t>fair valu</w:t>
            </w:r>
            <w:r>
              <w:rPr>
                <w:b/>
                <w:bCs/>
                <w:sz w:val="16"/>
                <w:szCs w:val="16"/>
              </w:rPr>
              <w:t>e</w:t>
            </w:r>
          </w:p>
        </w:tc>
      </w:tr>
      <w:tr w:rsidR="00000000">
        <w:trPr>
          <w:divId w:val="1987123615"/>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Nonvested at December 31, 202</w:t>
            </w:r>
            <w:r>
              <w:rPr>
                <w:sz w:val="20"/>
                <w:szCs w:val="20"/>
              </w:rPr>
              <w:t>1</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3,46</w:t>
            </w:r>
            <w:r>
              <w:rPr>
                <w:sz w:val="20"/>
                <w:szCs w:val="20"/>
              </w:rPr>
              <w:t>5</w:t>
            </w:r>
            <w:r>
              <w:rPr>
                <w:sz w:val="20"/>
                <w:szCs w:val="20"/>
              </w:rPr>
              <w:t xml:space="preserve">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10.3</w:t>
            </w:r>
            <w:r>
              <w:rPr>
                <w:sz w:val="20"/>
                <w:szCs w:val="20"/>
              </w:rPr>
              <w:t>5</w:t>
            </w:r>
          </w:p>
        </w:tc>
      </w:tr>
      <w:tr w:rsidR="00000000">
        <w:trPr>
          <w:divId w:val="1987123615"/>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Grante</w:t>
            </w:r>
            <w:r>
              <w:rPr>
                <w:sz w:val="20"/>
                <w:szCs w:val="20"/>
              </w:rPr>
              <w:t>d</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2,12</w:t>
            </w:r>
            <w:r>
              <w:rPr>
                <w:b/>
                <w:bCs/>
                <w:sz w:val="20"/>
                <w:szCs w:val="20"/>
              </w:rPr>
              <w:t>0</w:t>
            </w:r>
            <w:r>
              <w:rPr>
                <w:b/>
                <w:bCs/>
                <w:sz w:val="20"/>
                <w:szCs w:val="20"/>
              </w:rPr>
              <w:t xml:space="preserve">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10.1</w:t>
            </w:r>
            <w:r>
              <w:rPr>
                <w:b/>
                <w:bCs/>
                <w:sz w:val="20"/>
                <w:szCs w:val="20"/>
              </w:rPr>
              <w:t>4</w:t>
            </w:r>
          </w:p>
        </w:tc>
      </w:tr>
      <w:tr w:rsidR="00000000">
        <w:trPr>
          <w:divId w:val="1987123615"/>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Cancelle</w:t>
            </w:r>
            <w:r>
              <w:rPr>
                <w:sz w:val="20"/>
                <w:szCs w:val="20"/>
              </w:rPr>
              <w:t>d</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14</w:t>
            </w:r>
            <w:r>
              <w:rPr>
                <w:b/>
                <w:bCs/>
                <w:sz w:val="20"/>
                <w:szCs w:val="20"/>
              </w:rPr>
              <w:t>4</w:t>
            </w: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9.6</w:t>
            </w:r>
            <w:r>
              <w:rPr>
                <w:b/>
                <w:bCs/>
                <w:sz w:val="20"/>
                <w:szCs w:val="20"/>
              </w:rPr>
              <w:t>7</w:t>
            </w:r>
          </w:p>
        </w:tc>
      </w:tr>
      <w:tr w:rsidR="00000000">
        <w:trPr>
          <w:divId w:val="1987123615"/>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Veste</w:t>
            </w:r>
            <w:r>
              <w:rPr>
                <w:sz w:val="20"/>
                <w:szCs w:val="20"/>
              </w:rPr>
              <w:t>d</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1,57</w:t>
            </w:r>
            <w:r>
              <w:rPr>
                <w:b/>
                <w:bCs/>
                <w:sz w:val="20"/>
                <w:szCs w:val="20"/>
              </w:rPr>
              <w:t>0</w:t>
            </w: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11.0</w:t>
            </w:r>
            <w:r>
              <w:rPr>
                <w:b/>
                <w:bCs/>
                <w:sz w:val="20"/>
                <w:szCs w:val="20"/>
              </w:rPr>
              <w:t>4</w:t>
            </w:r>
          </w:p>
        </w:tc>
      </w:tr>
      <w:tr w:rsidR="00000000">
        <w:trPr>
          <w:divId w:val="1987123615"/>
          <w:trHeight w:val="200"/>
          <w:tblCellSpacing w:w="15" w:type="dxa"/>
        </w:trPr>
        <w:tc>
          <w:tcPr>
            <w:tcW w:w="0" w:type="auto"/>
            <w:hideMark/>
          </w:tcPr>
          <w:p w:rsidR="00000000" w:rsidRDefault="006D723D">
            <w:pPr>
              <w:pStyle w:val="a3"/>
              <w:spacing w:before="0" w:beforeAutospacing="0" w:after="0" w:afterAutospacing="0"/>
              <w:rPr>
                <w:sz w:val="20"/>
                <w:szCs w:val="20"/>
              </w:rPr>
            </w:pPr>
            <w:r>
              <w:rPr>
                <w:b/>
                <w:bCs/>
                <w:sz w:val="20"/>
                <w:szCs w:val="20"/>
              </w:rPr>
              <w:t>Nonvested at December 31, 202</w:t>
            </w:r>
            <w:r>
              <w:rPr>
                <w:b/>
                <w:bCs/>
                <w:sz w:val="20"/>
                <w:szCs w:val="20"/>
              </w:rPr>
              <w:t>2</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3,87</w:t>
            </w:r>
            <w:r>
              <w:rPr>
                <w:b/>
                <w:bCs/>
                <w:sz w:val="20"/>
                <w:szCs w:val="20"/>
              </w:rPr>
              <w:t>1</w:t>
            </w:r>
            <w:r>
              <w:rPr>
                <w:b/>
                <w:bCs/>
                <w:sz w:val="20"/>
                <w:szCs w:val="20"/>
              </w:rPr>
              <w:t xml:space="preserve">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9.8</w:t>
            </w:r>
            <w:r>
              <w:rPr>
                <w:b/>
                <w:bCs/>
                <w:sz w:val="20"/>
                <w:szCs w:val="20"/>
              </w:rPr>
              <w:t>7</w:t>
            </w:r>
          </w:p>
        </w:tc>
      </w:tr>
    </w:tbl>
    <w:p w:rsidR="00000000" w:rsidRDefault="006D723D">
      <w:pPr>
        <w:pStyle w:val="a3"/>
        <w:spacing w:before="40" w:beforeAutospacing="0" w:after="0" w:afterAutospacing="0"/>
        <w:ind w:left="476"/>
        <w:jc w:val="both"/>
        <w:divId w:val="1416126883"/>
        <w:rPr>
          <w:sz w:val="20"/>
          <w:szCs w:val="20"/>
        </w:rPr>
      </w:pPr>
      <w:r>
        <w:t> </w:t>
      </w:r>
    </w:p>
    <w:p w:rsidR="00000000" w:rsidRDefault="006D723D">
      <w:pPr>
        <w:pStyle w:val="a3"/>
        <w:spacing w:before="40" w:beforeAutospacing="0" w:after="0" w:afterAutospacing="0"/>
        <w:ind w:left="476"/>
        <w:jc w:val="both"/>
        <w:divId w:val="1416126883"/>
        <w:rPr>
          <w:sz w:val="20"/>
          <w:szCs w:val="20"/>
        </w:rPr>
      </w:pPr>
      <w:r>
        <w:rPr>
          <w:sz w:val="20"/>
          <w:szCs w:val="20"/>
        </w:rPr>
        <w:t xml:space="preserve">During 2022, 2021, and 2020, CoreCivic expensed </w:t>
      </w:r>
      <w:r>
        <w:rPr>
          <w:sz w:val="20"/>
          <w:szCs w:val="20"/>
        </w:rPr>
        <w:t>$</w:t>
      </w:r>
      <w:r>
        <w:rPr>
          <w:sz w:val="20"/>
          <w:szCs w:val="20"/>
        </w:rPr>
        <w:t>17.</w:t>
      </w:r>
      <w:r>
        <w:rPr>
          <w:sz w:val="20"/>
          <w:szCs w:val="20"/>
        </w:rPr>
        <w:t>6</w:t>
      </w:r>
      <w:r>
        <w:rPr>
          <w:sz w:val="20"/>
          <w:szCs w:val="20"/>
        </w:rPr>
        <w:t xml:space="preserve"> million (</w:t>
      </w:r>
      <w:r>
        <w:rPr>
          <w:sz w:val="20"/>
          <w:szCs w:val="20"/>
        </w:rPr>
        <w:t>$</w:t>
      </w:r>
      <w:r>
        <w:rPr>
          <w:sz w:val="20"/>
          <w:szCs w:val="20"/>
        </w:rPr>
        <w:t>1.</w:t>
      </w:r>
      <w:r>
        <w:rPr>
          <w:sz w:val="20"/>
          <w:szCs w:val="20"/>
        </w:rPr>
        <w:t>5</w:t>
      </w:r>
      <w:r>
        <w:rPr>
          <w:sz w:val="20"/>
          <w:szCs w:val="20"/>
        </w:rPr>
        <w:t xml:space="preserve"> </w:t>
      </w:r>
      <w:r>
        <w:rPr>
          <w:sz w:val="20"/>
          <w:szCs w:val="20"/>
        </w:rPr>
        <w:t xml:space="preserve">million of which was recorded in operating expenses and </w:t>
      </w:r>
      <w:r>
        <w:rPr>
          <w:sz w:val="20"/>
          <w:szCs w:val="20"/>
        </w:rPr>
        <w:t>$</w:t>
      </w:r>
      <w:r>
        <w:rPr>
          <w:sz w:val="20"/>
          <w:szCs w:val="20"/>
        </w:rPr>
        <w:t>16.</w:t>
      </w:r>
      <w:r>
        <w:rPr>
          <w:sz w:val="20"/>
          <w:szCs w:val="20"/>
        </w:rPr>
        <w:t>1</w:t>
      </w:r>
      <w:r>
        <w:rPr>
          <w:sz w:val="20"/>
          <w:szCs w:val="20"/>
        </w:rPr>
        <w:t xml:space="preserve"> million of which was recorded in general and administrative expenses), </w:t>
      </w:r>
      <w:r>
        <w:rPr>
          <w:sz w:val="20"/>
          <w:szCs w:val="20"/>
        </w:rPr>
        <w:t>$</w:t>
      </w:r>
      <w:r>
        <w:rPr>
          <w:sz w:val="20"/>
          <w:szCs w:val="20"/>
        </w:rPr>
        <w:t>18.</w:t>
      </w:r>
      <w:r>
        <w:rPr>
          <w:sz w:val="20"/>
          <w:szCs w:val="20"/>
        </w:rPr>
        <w:t>7</w:t>
      </w:r>
      <w:r>
        <w:rPr>
          <w:sz w:val="20"/>
          <w:szCs w:val="20"/>
        </w:rPr>
        <w:t xml:space="preserve"> million (</w:t>
      </w:r>
      <w:r>
        <w:rPr>
          <w:sz w:val="20"/>
          <w:szCs w:val="20"/>
        </w:rPr>
        <w:t>$</w:t>
      </w:r>
      <w:r>
        <w:rPr>
          <w:sz w:val="20"/>
          <w:szCs w:val="20"/>
        </w:rPr>
        <w:t>1.</w:t>
      </w:r>
      <w:r>
        <w:rPr>
          <w:sz w:val="20"/>
          <w:szCs w:val="20"/>
        </w:rPr>
        <w:t>6</w:t>
      </w:r>
      <w:r>
        <w:rPr>
          <w:sz w:val="20"/>
          <w:szCs w:val="20"/>
        </w:rPr>
        <w:t xml:space="preserve"> million of which was recorded in operating expenses and </w:t>
      </w:r>
      <w:r>
        <w:rPr>
          <w:sz w:val="20"/>
          <w:szCs w:val="20"/>
        </w:rPr>
        <w:t>$</w:t>
      </w:r>
      <w:r>
        <w:rPr>
          <w:sz w:val="20"/>
          <w:szCs w:val="20"/>
        </w:rPr>
        <w:t>17.</w:t>
      </w:r>
      <w:r>
        <w:rPr>
          <w:sz w:val="20"/>
          <w:szCs w:val="20"/>
        </w:rPr>
        <w:t>1</w:t>
      </w:r>
      <w:r>
        <w:rPr>
          <w:sz w:val="20"/>
          <w:szCs w:val="20"/>
        </w:rPr>
        <w:t xml:space="preserve"> million of which was recorded in general </w:t>
      </w:r>
      <w:r>
        <w:rPr>
          <w:sz w:val="20"/>
          <w:szCs w:val="20"/>
        </w:rPr>
        <w:t xml:space="preserve">and administrative expenses), and </w:t>
      </w:r>
      <w:r>
        <w:rPr>
          <w:sz w:val="20"/>
          <w:szCs w:val="20"/>
        </w:rPr>
        <w:t>$</w:t>
      </w:r>
      <w:r>
        <w:rPr>
          <w:sz w:val="20"/>
          <w:szCs w:val="20"/>
        </w:rPr>
        <w:t>17.</w:t>
      </w:r>
      <w:r>
        <w:rPr>
          <w:sz w:val="20"/>
          <w:szCs w:val="20"/>
        </w:rPr>
        <w:t>3</w:t>
      </w:r>
      <w:r>
        <w:rPr>
          <w:sz w:val="20"/>
          <w:szCs w:val="20"/>
        </w:rPr>
        <w:t xml:space="preserve"> million (</w:t>
      </w:r>
      <w:r>
        <w:rPr>
          <w:sz w:val="20"/>
          <w:szCs w:val="20"/>
        </w:rPr>
        <w:t>$</w:t>
      </w:r>
      <w:r>
        <w:rPr>
          <w:sz w:val="20"/>
          <w:szCs w:val="20"/>
        </w:rPr>
        <w:t>1.</w:t>
      </w:r>
      <w:r>
        <w:rPr>
          <w:sz w:val="20"/>
          <w:szCs w:val="20"/>
        </w:rPr>
        <w:t>7</w:t>
      </w:r>
      <w:r>
        <w:rPr>
          <w:sz w:val="20"/>
          <w:szCs w:val="20"/>
        </w:rPr>
        <w:t xml:space="preserve"> million of which was recorded in operating expenses and </w:t>
      </w:r>
      <w:r>
        <w:rPr>
          <w:sz w:val="20"/>
          <w:szCs w:val="20"/>
        </w:rPr>
        <w:t>$</w:t>
      </w:r>
      <w:r>
        <w:rPr>
          <w:sz w:val="20"/>
          <w:szCs w:val="20"/>
        </w:rPr>
        <w:t>15.</w:t>
      </w:r>
      <w:r>
        <w:rPr>
          <w:sz w:val="20"/>
          <w:szCs w:val="20"/>
        </w:rPr>
        <w:t>6</w:t>
      </w:r>
      <w:r>
        <w:rPr>
          <w:sz w:val="20"/>
          <w:szCs w:val="20"/>
        </w:rPr>
        <w:t xml:space="preserve"> million of which was recorded in general and administrative expenses), net of forfeitures, relating to RSUs, respectively. As of</w:t>
      </w:r>
      <w:r>
        <w:rPr>
          <w:sz w:val="20"/>
          <w:szCs w:val="20"/>
        </w:rPr>
        <w:t xml:space="preserve"> </w:t>
      </w:r>
      <w:r>
        <w:rPr>
          <w:sz w:val="20"/>
          <w:szCs w:val="20"/>
        </w:rPr>
        <w:t>December 31</w:t>
      </w:r>
      <w:r>
        <w:rPr>
          <w:sz w:val="20"/>
          <w:szCs w:val="20"/>
        </w:rPr>
        <w:t>, 202</w:t>
      </w:r>
      <w:r>
        <w:rPr>
          <w:sz w:val="20"/>
          <w:szCs w:val="20"/>
        </w:rPr>
        <w:t>2</w:t>
      </w:r>
      <w:r>
        <w:rPr>
          <w:sz w:val="20"/>
          <w:szCs w:val="20"/>
        </w:rPr>
        <w:t xml:space="preserve">, CoreCivic had </w:t>
      </w:r>
      <w:r>
        <w:rPr>
          <w:sz w:val="20"/>
          <w:szCs w:val="20"/>
        </w:rPr>
        <w:t>$</w:t>
      </w:r>
      <w:r>
        <w:rPr>
          <w:sz w:val="20"/>
          <w:szCs w:val="20"/>
        </w:rPr>
        <w:t>15.</w:t>
      </w:r>
      <w:r>
        <w:rPr>
          <w:sz w:val="20"/>
          <w:szCs w:val="20"/>
        </w:rPr>
        <w:t>2</w:t>
      </w:r>
      <w:r>
        <w:rPr>
          <w:sz w:val="20"/>
          <w:szCs w:val="20"/>
        </w:rPr>
        <w:t xml:space="preserve"> million of total unrecognized compensation cost related to RSUs that is expected to be recognized over a remaining weighted-average period of</w:t>
      </w:r>
      <w:r>
        <w:rPr>
          <w:sz w:val="20"/>
          <w:szCs w:val="20"/>
        </w:rPr>
        <w:t xml:space="preserve"> </w:t>
      </w:r>
      <w:r>
        <w:rPr>
          <w:sz w:val="20"/>
          <w:szCs w:val="20"/>
        </w:rPr>
        <w:t>1.</w:t>
      </w:r>
      <w:r>
        <w:rPr>
          <w:sz w:val="20"/>
          <w:szCs w:val="20"/>
        </w:rPr>
        <w:t>7</w:t>
      </w:r>
      <w:r>
        <w:rPr>
          <w:sz w:val="20"/>
          <w:szCs w:val="20"/>
        </w:rPr>
        <w:t xml:space="preserve"> years</w:t>
      </w:r>
      <w:r>
        <w:rPr>
          <w:sz w:val="20"/>
          <w:szCs w:val="20"/>
        </w:rPr>
        <w:t>.</w:t>
      </w:r>
      <w:r>
        <w:rPr>
          <w:b/>
          <w:bCs/>
          <w:sz w:val="20"/>
          <w:szCs w:val="20"/>
        </w:rPr>
        <w:t xml:space="preserve"> </w:t>
      </w:r>
      <w:r>
        <w:rPr>
          <w:sz w:val="20"/>
          <w:szCs w:val="20"/>
        </w:rPr>
        <w:t xml:space="preserve">The total fair value of RSUs that vested during 2022, 2021, and 2020 was </w:t>
      </w:r>
      <w:r>
        <w:rPr>
          <w:sz w:val="20"/>
          <w:szCs w:val="20"/>
        </w:rPr>
        <w:t>$</w:t>
      </w:r>
      <w:r>
        <w:rPr>
          <w:sz w:val="20"/>
          <w:szCs w:val="20"/>
        </w:rPr>
        <w:t>1</w:t>
      </w:r>
      <w:r>
        <w:rPr>
          <w:sz w:val="20"/>
          <w:szCs w:val="20"/>
        </w:rPr>
        <w:t>8.</w:t>
      </w:r>
      <w:r>
        <w:rPr>
          <w:sz w:val="20"/>
          <w:szCs w:val="20"/>
        </w:rPr>
        <w:t>3</w:t>
      </w:r>
      <w:r>
        <w:rPr>
          <w:sz w:val="20"/>
          <w:szCs w:val="20"/>
        </w:rPr>
        <w:t xml:space="preserve"> million, </w:t>
      </w:r>
      <w:r>
        <w:rPr>
          <w:sz w:val="20"/>
          <w:szCs w:val="20"/>
        </w:rPr>
        <w:t>$</w:t>
      </w:r>
      <w:r>
        <w:rPr>
          <w:sz w:val="20"/>
          <w:szCs w:val="20"/>
        </w:rPr>
        <w:t>6.</w:t>
      </w:r>
      <w:r>
        <w:rPr>
          <w:sz w:val="20"/>
          <w:szCs w:val="20"/>
        </w:rPr>
        <w:t>4</w:t>
      </w:r>
      <w:r>
        <w:rPr>
          <w:sz w:val="20"/>
          <w:szCs w:val="20"/>
        </w:rPr>
        <w:t xml:space="preserve"> million, and </w:t>
      </w:r>
      <w:r>
        <w:rPr>
          <w:sz w:val="20"/>
          <w:szCs w:val="20"/>
        </w:rPr>
        <w:t>$</w:t>
      </w:r>
      <w:r>
        <w:rPr>
          <w:sz w:val="20"/>
          <w:szCs w:val="20"/>
        </w:rPr>
        <w:t>12.</w:t>
      </w:r>
      <w:r>
        <w:rPr>
          <w:sz w:val="20"/>
          <w:szCs w:val="20"/>
        </w:rPr>
        <w:t>8</w:t>
      </w:r>
      <w:r>
        <w:rPr>
          <w:sz w:val="20"/>
          <w:szCs w:val="20"/>
        </w:rPr>
        <w:t xml:space="preserve"> million, respectively</w:t>
      </w:r>
      <w:r>
        <w:rPr>
          <w:sz w:val="20"/>
          <w:szCs w:val="20"/>
        </w:rPr>
        <w:t>.</w:t>
      </w:r>
    </w:p>
    <w:p w:rsidR="00000000" w:rsidRDefault="006D723D">
      <w:pPr>
        <w:pStyle w:val="a3"/>
        <w:spacing w:before="360" w:beforeAutospacing="0" w:after="0" w:afterAutospacing="0"/>
        <w:ind w:left="476"/>
        <w:jc w:val="both"/>
        <w:divId w:val="1416126883"/>
        <w:rPr>
          <w:sz w:val="20"/>
          <w:szCs w:val="20"/>
        </w:rPr>
      </w:pPr>
      <w:r>
        <w:rPr>
          <w:b/>
          <w:bCs/>
          <w:sz w:val="20"/>
          <w:szCs w:val="20"/>
        </w:rPr>
        <w:t>Preferred Stoc</w:t>
      </w:r>
      <w:r>
        <w:rPr>
          <w:b/>
          <w:bCs/>
          <w:sz w:val="20"/>
          <w:szCs w:val="20"/>
        </w:rPr>
        <w:t>k</w:t>
      </w:r>
    </w:p>
    <w:p w:rsidR="00000000" w:rsidRDefault="006D723D">
      <w:pPr>
        <w:pStyle w:val="a3"/>
        <w:spacing w:before="120" w:beforeAutospacing="0" w:after="0" w:afterAutospacing="0"/>
        <w:ind w:left="476"/>
        <w:jc w:val="both"/>
        <w:divId w:val="1416126883"/>
        <w:rPr>
          <w:sz w:val="20"/>
          <w:szCs w:val="20"/>
        </w:rPr>
      </w:pPr>
      <w:r>
        <w:rPr>
          <w:sz w:val="20"/>
          <w:szCs w:val="20"/>
        </w:rPr>
        <w:t>CoreCivic has the authority to issue</w:t>
      </w:r>
      <w:r>
        <w:rPr>
          <w:sz w:val="20"/>
          <w:szCs w:val="20"/>
        </w:rPr>
        <w:t xml:space="preserve"> </w:t>
      </w:r>
      <w:r>
        <w:rPr>
          <w:sz w:val="20"/>
          <w:szCs w:val="20"/>
        </w:rPr>
        <w:t>50.</w:t>
      </w:r>
      <w:r>
        <w:rPr>
          <w:sz w:val="20"/>
          <w:szCs w:val="20"/>
        </w:rPr>
        <w:t>0</w:t>
      </w:r>
      <w:r>
        <w:rPr>
          <w:sz w:val="20"/>
          <w:szCs w:val="20"/>
        </w:rPr>
        <w:t xml:space="preserve"> million shares of </w:t>
      </w:r>
      <w:r>
        <w:rPr>
          <w:sz w:val="20"/>
          <w:szCs w:val="20"/>
        </w:rPr>
        <w:t>$</w:t>
      </w:r>
      <w:r>
        <w:rPr>
          <w:sz w:val="20"/>
          <w:szCs w:val="20"/>
        </w:rPr>
        <w:t>0.0</w:t>
      </w:r>
      <w:r>
        <w:rPr>
          <w:sz w:val="20"/>
          <w:szCs w:val="20"/>
        </w:rPr>
        <w:t>1</w:t>
      </w:r>
      <w:r>
        <w:rPr>
          <w:sz w:val="20"/>
          <w:szCs w:val="20"/>
        </w:rPr>
        <w:t xml:space="preserve"> par value per share preferred stock (the "Preferred Stock"). The Preferred Stock may be issued from time to time u</w:t>
      </w:r>
      <w:r>
        <w:rPr>
          <w:sz w:val="20"/>
          <w:szCs w:val="20"/>
        </w:rPr>
        <w:t>pon authorization by the BOD, in such series and with such preferences, conversion or other rights, voting powers, restrictions, limitations as to dividends, qualifications or other provisions as may be fixed by CoreCivic's BOD</w:t>
      </w:r>
      <w:r>
        <w:rPr>
          <w:sz w:val="20"/>
          <w:szCs w:val="20"/>
        </w:rPr>
        <w:t>.</w:t>
      </w:r>
    </w:p>
    <w:p w:rsidR="00000000" w:rsidRDefault="006D723D">
      <w:pPr>
        <w:pStyle w:val="a3"/>
        <w:spacing w:before="360" w:beforeAutospacing="0" w:after="0" w:afterAutospacing="0"/>
        <w:ind w:left="476"/>
        <w:jc w:val="both"/>
        <w:divId w:val="1416126883"/>
        <w:rPr>
          <w:sz w:val="20"/>
          <w:szCs w:val="20"/>
        </w:rPr>
      </w:pPr>
      <w:r>
        <w:rPr>
          <w:b/>
          <w:bCs/>
          <w:sz w:val="20"/>
          <w:szCs w:val="20"/>
        </w:rPr>
        <w:t>Stock Option Plan</w:t>
      </w:r>
      <w:r>
        <w:rPr>
          <w:b/>
          <w:bCs/>
          <w:sz w:val="20"/>
          <w:szCs w:val="20"/>
        </w:rPr>
        <w:t>s</w:t>
      </w:r>
    </w:p>
    <w:p w:rsidR="00000000" w:rsidRDefault="006D723D">
      <w:pPr>
        <w:pStyle w:val="a3"/>
        <w:spacing w:before="120" w:beforeAutospacing="0" w:after="0" w:afterAutospacing="0"/>
        <w:ind w:left="476"/>
        <w:jc w:val="both"/>
        <w:divId w:val="1416126883"/>
        <w:rPr>
          <w:sz w:val="20"/>
          <w:szCs w:val="20"/>
        </w:rPr>
      </w:pPr>
      <w:r>
        <w:rPr>
          <w:sz w:val="20"/>
          <w:szCs w:val="20"/>
        </w:rPr>
        <w:t>CoreCivi</w:t>
      </w:r>
      <w:r>
        <w:rPr>
          <w:sz w:val="20"/>
          <w:szCs w:val="20"/>
        </w:rPr>
        <w:t xml:space="preserve">c has equity incentive plans under which, among other things, incentive and non-qualified stock options are granted to certain employees and non-employee directors of CoreCivic by the compensation committee of CoreCivic's BOD. The options are granted with </w:t>
      </w:r>
      <w:r>
        <w:rPr>
          <w:sz w:val="20"/>
          <w:szCs w:val="20"/>
        </w:rPr>
        <w:t>exercise prices equal to the fair market value on the date of grant. Vesting periods for options granted to employees generally range from three to</w:t>
      </w:r>
      <w:r>
        <w:rPr>
          <w:sz w:val="20"/>
          <w:szCs w:val="20"/>
        </w:rPr>
        <w:t xml:space="preserve"> </w:t>
      </w:r>
      <w:r>
        <w:rPr>
          <w:sz w:val="20"/>
          <w:szCs w:val="20"/>
        </w:rPr>
        <w:t>four year</w:t>
      </w:r>
      <w:r>
        <w:rPr>
          <w:sz w:val="20"/>
          <w:szCs w:val="20"/>
        </w:rPr>
        <w:t>s</w:t>
      </w:r>
      <w:r>
        <w:rPr>
          <w:sz w:val="20"/>
          <w:szCs w:val="20"/>
        </w:rPr>
        <w:t>. Options granted to non-employee directors vest on a date approximately following the first anniv</w:t>
      </w:r>
      <w:r>
        <w:rPr>
          <w:sz w:val="20"/>
          <w:szCs w:val="20"/>
        </w:rPr>
        <w:t>ersary of the grant date. The term of such options is</w:t>
      </w:r>
      <w:r>
        <w:rPr>
          <w:sz w:val="20"/>
          <w:szCs w:val="20"/>
        </w:rPr>
        <w:t xml:space="preserve"> </w:t>
      </w:r>
      <w:r>
        <w:rPr>
          <w:sz w:val="20"/>
          <w:szCs w:val="20"/>
        </w:rPr>
        <w:t>ten year</w:t>
      </w:r>
      <w:r>
        <w:rPr>
          <w:sz w:val="20"/>
          <w:szCs w:val="20"/>
        </w:rPr>
        <w:t>s</w:t>
      </w:r>
      <w:r>
        <w:rPr>
          <w:sz w:val="20"/>
          <w:szCs w:val="20"/>
        </w:rPr>
        <w:t xml:space="preserve"> from the date of grant</w:t>
      </w:r>
      <w:r>
        <w:rPr>
          <w:sz w:val="20"/>
          <w:szCs w:val="20"/>
        </w:rPr>
        <w:t>.</w:t>
      </w:r>
    </w:p>
    <w:p w:rsidR="00000000" w:rsidRDefault="006D723D">
      <w:pPr>
        <w:pStyle w:val="a3"/>
        <w:spacing w:before="240" w:beforeAutospacing="0" w:after="0" w:afterAutospacing="0"/>
        <w:ind w:left="476"/>
        <w:jc w:val="both"/>
        <w:divId w:val="1416126883"/>
        <w:rPr>
          <w:sz w:val="20"/>
          <w:szCs w:val="20"/>
        </w:rPr>
      </w:pPr>
      <w:r>
        <w:rPr>
          <w:sz w:val="20"/>
          <w:szCs w:val="20"/>
        </w:rPr>
        <w:t>Since 2012, CoreCivic has elected not to issue stock options to its non-employee directors, officers, and executive officers as it had in prior years, and instead elect</w:t>
      </w:r>
      <w:r>
        <w:rPr>
          <w:sz w:val="20"/>
          <w:szCs w:val="20"/>
        </w:rPr>
        <w:t>ed to issue all of its equity compensation in the form of RSUs as previously described herein. There were no options exercised during the years 2020 through 2022. All outstanding stock options were fully vested as of December 31, 2016 and, as of December 3</w:t>
      </w:r>
      <w:r>
        <w:rPr>
          <w:sz w:val="20"/>
          <w:szCs w:val="20"/>
        </w:rPr>
        <w:t>1, 2022, no options remained outstanding</w:t>
      </w:r>
      <w:r>
        <w:rPr>
          <w:sz w:val="20"/>
          <w:szCs w:val="20"/>
        </w:rPr>
        <w:t>.</w:t>
      </w:r>
      <w:r>
        <w:t xml:space="preserve"> </w:t>
      </w:r>
    </w:p>
    <w:p w:rsidR="00000000" w:rsidRDefault="006D723D">
      <w:pPr>
        <w:pStyle w:val="a3"/>
        <w:spacing w:before="0" w:beforeAutospacing="0" w:after="0" w:afterAutospacing="0"/>
        <w:jc w:val="center"/>
        <w:divId w:val="1416126883"/>
        <w:rPr>
          <w:sz w:val="20"/>
          <w:szCs w:val="20"/>
        </w:rPr>
      </w:pPr>
      <w:r>
        <w:rPr>
          <w:sz w:val="20"/>
          <w:szCs w:val="20"/>
        </w:rPr>
        <w:t>F</w:t>
      </w:r>
      <w:r>
        <w:rPr>
          <w:sz w:val="20"/>
          <w:szCs w:val="20"/>
        </w:rPr>
        <w:t>-</w:t>
      </w:r>
      <w:r>
        <w:rPr>
          <w:sz w:val="20"/>
          <w:szCs w:val="20"/>
        </w:rPr>
        <w:t>3</w:t>
      </w:r>
      <w:r>
        <w:rPr>
          <w:sz w:val="20"/>
          <w:szCs w:val="20"/>
        </w:rPr>
        <w:t>3</w:t>
      </w:r>
    </w:p>
    <w:p w:rsidR="00000000" w:rsidRDefault="006D723D">
      <w:pPr>
        <w:divId w:val="1416126883"/>
        <w:rPr>
          <w:rFonts w:eastAsia="Times New Roman"/>
        </w:rPr>
      </w:pPr>
      <w:r>
        <w:rPr>
          <w:rFonts w:eastAsia="Times New Roman"/>
        </w:rPr>
        <w:pict>
          <v:rect id="_x0000_i1161" style="width:0;height:1.5pt" o:hralign="center" o:hrstd="t" o:hr="t" fillcolor="#a0a0a0" stroked="f"/>
        </w:pict>
      </w:r>
    </w:p>
    <w:p w:rsidR="00000000" w:rsidRDefault="006D723D">
      <w:pPr>
        <w:pStyle w:val="a3"/>
        <w:spacing w:before="0" w:beforeAutospacing="0" w:after="0" w:afterAutospacing="0"/>
        <w:divId w:val="1416126883"/>
        <w:rPr>
          <w:sz w:val="20"/>
          <w:szCs w:val="20"/>
        </w:rPr>
      </w:pPr>
      <w:r>
        <w:rPr>
          <w:sz w:val="20"/>
          <w:szCs w:val="20"/>
        </w:rPr>
        <w:t> </w:t>
      </w:r>
    </w:p>
    <w:p w:rsidR="00000000" w:rsidRDefault="006D723D">
      <w:pPr>
        <w:pStyle w:val="a3"/>
        <w:spacing w:before="240" w:beforeAutospacing="0" w:after="0" w:afterAutospacing="0"/>
        <w:ind w:left="476"/>
        <w:jc w:val="both"/>
        <w:divId w:val="1833180337"/>
        <w:rPr>
          <w:sz w:val="20"/>
          <w:szCs w:val="20"/>
        </w:rPr>
      </w:pPr>
      <w:r>
        <w:rPr>
          <w:sz w:val="20"/>
          <w:szCs w:val="20"/>
        </w:rPr>
        <w:t>Stock option transactions relating to CoreCivic's non-qualified stock option plans are summarized below (in thousands, except exercise prices)</w:t>
      </w:r>
      <w:r>
        <w:rPr>
          <w:sz w:val="20"/>
          <w:szCs w:val="20"/>
        </w:rPr>
        <w:t>:</w:t>
      </w:r>
    </w:p>
    <w:p w:rsidR="00000000" w:rsidRDefault="006D723D">
      <w:pPr>
        <w:pStyle w:val="a3"/>
        <w:spacing w:before="0" w:beforeAutospacing="0" w:after="0" w:afterAutospacing="0"/>
        <w:jc w:val="both"/>
        <w:divId w:val="1833180337"/>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19"/>
        <w:gridCol w:w="110"/>
        <w:gridCol w:w="111"/>
        <w:gridCol w:w="581"/>
        <w:gridCol w:w="127"/>
        <w:gridCol w:w="110"/>
        <w:gridCol w:w="161"/>
        <w:gridCol w:w="675"/>
        <w:gridCol w:w="110"/>
        <w:gridCol w:w="110"/>
        <w:gridCol w:w="111"/>
        <w:gridCol w:w="777"/>
        <w:gridCol w:w="110"/>
        <w:gridCol w:w="110"/>
        <w:gridCol w:w="161"/>
        <w:gridCol w:w="667"/>
        <w:gridCol w:w="125"/>
      </w:tblGrid>
      <w:tr w:rsidR="00000000">
        <w:trPr>
          <w:divId w:val="1833180337"/>
          <w:tblCellSpacing w:w="15" w:type="dxa"/>
        </w:trPr>
        <w:tc>
          <w:tcPr>
            <w:tcW w:w="2438" w:type="pct"/>
            <w:vAlign w:val="center"/>
            <w:hideMark/>
          </w:tcPr>
          <w:p w:rsidR="00000000" w:rsidRDefault="006D723D">
            <w:pPr>
              <w:rPr>
                <w:sz w:val="20"/>
                <w:szCs w:val="20"/>
              </w:rPr>
            </w:pPr>
          </w:p>
        </w:tc>
        <w:tc>
          <w:tcPr>
            <w:tcW w:w="4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7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8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7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497"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divId w:val="1833180337"/>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No. of</w:t>
            </w:r>
            <w:r>
              <w:rPr>
                <w:b/>
                <w:bCs/>
                <w:sz w:val="16"/>
                <w:szCs w:val="16"/>
              </w:rPr>
              <w:br/>
              <w:t>option</w:t>
            </w:r>
            <w:r>
              <w:rPr>
                <w:b/>
                <w:bCs/>
                <w:sz w:val="16"/>
                <w:szCs w:val="16"/>
              </w:rPr>
              <w:t>s</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Weighted-</w:t>
            </w:r>
            <w:r>
              <w:rPr>
                <w:b/>
                <w:bCs/>
                <w:sz w:val="16"/>
                <w:szCs w:val="16"/>
              </w:rPr>
              <w:br/>
              <w:t>Average</w:t>
            </w:r>
            <w:r>
              <w:rPr>
                <w:b/>
                <w:bCs/>
                <w:sz w:val="16"/>
                <w:szCs w:val="16"/>
              </w:rPr>
              <w:br/>
              <w:t>Exercise</w:t>
            </w:r>
            <w:r>
              <w:rPr>
                <w:b/>
                <w:bCs/>
                <w:sz w:val="16"/>
                <w:szCs w:val="16"/>
              </w:rPr>
              <w:br/>
              <w:t>Price of</w:t>
            </w:r>
            <w:r>
              <w:rPr>
                <w:b/>
                <w:bCs/>
                <w:sz w:val="16"/>
                <w:szCs w:val="16"/>
              </w:rPr>
              <w:br/>
              <w:t>option</w:t>
            </w:r>
            <w:r>
              <w:rPr>
                <w:b/>
                <w:bCs/>
                <w:sz w:val="16"/>
                <w:szCs w:val="16"/>
              </w:rPr>
              <w:t>s</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Weighted-</w:t>
            </w:r>
            <w:r>
              <w:rPr>
                <w:b/>
                <w:bCs/>
                <w:sz w:val="16"/>
                <w:szCs w:val="16"/>
              </w:rPr>
              <w:br/>
              <w:t>Average</w:t>
            </w:r>
            <w:r>
              <w:rPr>
                <w:b/>
                <w:bCs/>
                <w:sz w:val="16"/>
                <w:szCs w:val="16"/>
              </w:rPr>
              <w:br/>
              <w:t>Remaining</w:t>
            </w:r>
            <w:r>
              <w:rPr>
                <w:b/>
                <w:bCs/>
                <w:sz w:val="16"/>
                <w:szCs w:val="16"/>
              </w:rPr>
              <w:br/>
              <w:t>Contractual</w:t>
            </w:r>
            <w:r>
              <w:rPr>
                <w:b/>
                <w:bCs/>
                <w:sz w:val="16"/>
                <w:szCs w:val="16"/>
              </w:rPr>
              <w:br/>
              <w:t>Ter</w:t>
            </w:r>
            <w:r>
              <w:rPr>
                <w:b/>
                <w:bCs/>
                <w:sz w:val="16"/>
                <w:szCs w:val="16"/>
              </w:rPr>
              <w:t>m</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Aggregate</w:t>
            </w:r>
            <w:r>
              <w:rPr>
                <w:b/>
                <w:bCs/>
                <w:sz w:val="16"/>
                <w:szCs w:val="16"/>
              </w:rPr>
              <w:br/>
              <w:t>Intrinsic</w:t>
            </w:r>
            <w:r>
              <w:rPr>
                <w:b/>
                <w:bCs/>
                <w:sz w:val="16"/>
                <w:szCs w:val="16"/>
              </w:rPr>
              <w:br/>
              <w:t>Valu</w:t>
            </w:r>
            <w:r>
              <w:rPr>
                <w:b/>
                <w:bCs/>
                <w:sz w:val="16"/>
                <w:szCs w:val="16"/>
              </w:rPr>
              <w:t>e</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1833180337"/>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Outstanding at December 31, 202</w:t>
            </w:r>
            <w:r>
              <w:rPr>
                <w:sz w:val="20"/>
                <w:szCs w:val="20"/>
              </w:rPr>
              <w:t>1</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30</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22.7</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divId w:val="1833180337"/>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Grante</w:t>
            </w:r>
            <w:r>
              <w:rPr>
                <w:sz w:val="20"/>
                <w:szCs w:val="20"/>
              </w:rPr>
              <w:t>d</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divId w:val="1833180337"/>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Exercise</w:t>
            </w:r>
            <w:r>
              <w:rPr>
                <w:sz w:val="20"/>
                <w:szCs w:val="20"/>
              </w:rPr>
              <w:t>d</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divId w:val="1833180337"/>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Cancelle</w:t>
            </w:r>
            <w:r>
              <w:rPr>
                <w:sz w:val="20"/>
                <w:szCs w:val="20"/>
              </w:rPr>
              <w:t>d</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30</w:t>
            </w:r>
            <w:r>
              <w:rPr>
                <w:b/>
                <w:bCs/>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22.7</w:t>
            </w:r>
            <w:r>
              <w:rPr>
                <w:b/>
                <w:bCs/>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divId w:val="1833180337"/>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Outstanding at December 31, 202</w:t>
            </w:r>
            <w:r>
              <w:rPr>
                <w:sz w:val="20"/>
                <w:szCs w:val="20"/>
              </w:rPr>
              <w:t>2</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833180337"/>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Exercisable at December 31, 202</w:t>
            </w:r>
            <w:r>
              <w:rPr>
                <w:sz w:val="20"/>
                <w:szCs w:val="20"/>
              </w:rPr>
              <w:t>2</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bl>
    <w:p w:rsidR="00000000" w:rsidRDefault="006D723D">
      <w:pPr>
        <w:pStyle w:val="a3"/>
        <w:spacing w:before="0" w:beforeAutospacing="0" w:after="0" w:afterAutospacing="0"/>
        <w:jc w:val="both"/>
        <w:divId w:val="1416126883"/>
        <w:rPr>
          <w:sz w:val="20"/>
          <w:szCs w:val="20"/>
        </w:rPr>
      </w:pPr>
      <w:r>
        <w:rPr>
          <w:sz w:val="20"/>
          <w:szCs w:val="20"/>
        </w:rPr>
        <w:t> </w:t>
      </w:r>
    </w:p>
    <w:p w:rsidR="00000000" w:rsidRDefault="006D723D">
      <w:pPr>
        <w:pStyle w:val="a3"/>
        <w:spacing w:before="240" w:beforeAutospacing="0" w:after="0" w:afterAutospacing="0"/>
        <w:ind w:left="476"/>
        <w:jc w:val="both"/>
        <w:divId w:val="1416126883"/>
        <w:rPr>
          <w:sz w:val="20"/>
          <w:szCs w:val="20"/>
        </w:rPr>
      </w:pPr>
      <w:r>
        <w:rPr>
          <w:sz w:val="20"/>
          <w:szCs w:val="20"/>
        </w:rPr>
        <w:t>At CoreCivic's 2022 annual meeting of stockholders held in May 2022, CoreCivic's stockholders approved the CoreCivic, Inc. Amended and Restated 2020 Stock incentive Plan that authorized the issuance of new awards to an aggregate of up to</w:t>
      </w:r>
      <w:r>
        <w:rPr>
          <w:sz w:val="20"/>
          <w:szCs w:val="20"/>
        </w:rPr>
        <w:t xml:space="preserve"> </w:t>
      </w:r>
      <w:r>
        <w:rPr>
          <w:sz w:val="20"/>
          <w:szCs w:val="20"/>
        </w:rPr>
        <w:t>5.</w:t>
      </w:r>
      <w:r>
        <w:rPr>
          <w:sz w:val="20"/>
          <w:szCs w:val="20"/>
        </w:rPr>
        <w:t>9</w:t>
      </w:r>
      <w:r>
        <w:rPr>
          <w:sz w:val="20"/>
          <w:szCs w:val="20"/>
        </w:rPr>
        <w:t xml:space="preserve"> million shares</w:t>
      </w:r>
      <w:r>
        <w:rPr>
          <w:sz w:val="20"/>
          <w:szCs w:val="20"/>
        </w:rPr>
        <w:t>, plus remaining shares that were available for grant under the CoreCivic, Inc. 2020 Stock Incentive Plan. As of</w:t>
      </w:r>
      <w:r>
        <w:rPr>
          <w:sz w:val="20"/>
          <w:szCs w:val="20"/>
        </w:rPr>
        <w:t xml:space="preserve"> </w:t>
      </w:r>
      <w:r>
        <w:rPr>
          <w:sz w:val="20"/>
          <w:szCs w:val="20"/>
        </w:rPr>
        <w:t>December 31, 202</w:t>
      </w:r>
      <w:r>
        <w:rPr>
          <w:sz w:val="20"/>
          <w:szCs w:val="20"/>
        </w:rPr>
        <w:t>2</w:t>
      </w:r>
      <w:r>
        <w:rPr>
          <w:sz w:val="20"/>
          <w:szCs w:val="20"/>
        </w:rPr>
        <w:t>, CoreCivic had</w:t>
      </w:r>
      <w:r>
        <w:rPr>
          <w:sz w:val="20"/>
          <w:szCs w:val="20"/>
        </w:rPr>
        <w:t xml:space="preserve"> </w:t>
      </w:r>
      <w:r>
        <w:rPr>
          <w:sz w:val="20"/>
          <w:szCs w:val="20"/>
        </w:rPr>
        <w:t>7.</w:t>
      </w:r>
      <w:r>
        <w:rPr>
          <w:sz w:val="20"/>
          <w:szCs w:val="20"/>
        </w:rPr>
        <w:t>3</w:t>
      </w:r>
      <w:r>
        <w:rPr>
          <w:sz w:val="20"/>
          <w:szCs w:val="20"/>
        </w:rPr>
        <w:t xml:space="preserve"> million shares available for issuance under the Amended and Restated 2020 Stock Incentive Plan</w:t>
      </w:r>
      <w:r>
        <w:rPr>
          <w:sz w:val="20"/>
          <w:szCs w:val="20"/>
        </w:rPr>
        <w:t>.</w:t>
      </w:r>
      <w:r>
        <w:rPr>
          <w:sz w:val="20"/>
          <w:szCs w:val="20"/>
        </w:rPr>
        <w:t xml:space="preserve"> </w:t>
      </w:r>
    </w:p>
    <w:p w:rsidR="00000000" w:rsidRDefault="006D723D">
      <w:pPr>
        <w:jc w:val="both"/>
        <w:divId w:val="604458088"/>
        <w:rPr>
          <w:rFonts w:eastAsia="Times New Roman"/>
          <w:sz w:val="20"/>
          <w:szCs w:val="20"/>
        </w:rPr>
      </w:pPr>
      <w:r>
        <w:rPr>
          <w:rFonts w:eastAsia="Times New Roman"/>
          <w:b/>
          <w:bCs/>
          <w:sz w:val="20"/>
          <w:szCs w:val="20"/>
        </w:rPr>
        <w:t>14</w:t>
      </w:r>
      <w:r>
        <w:rPr>
          <w:rFonts w:eastAsia="Times New Roman"/>
          <w:b/>
          <w:bCs/>
          <w:sz w:val="20"/>
          <w:szCs w:val="20"/>
        </w:rPr>
        <w:t>.</w:t>
      </w:r>
    </w:p>
    <w:p w:rsidR="00000000" w:rsidRDefault="006D723D">
      <w:pPr>
        <w:jc w:val="both"/>
        <w:divId w:val="1451319200"/>
        <w:rPr>
          <w:rFonts w:eastAsia="Times New Roman"/>
          <w:sz w:val="20"/>
          <w:szCs w:val="20"/>
        </w:rPr>
      </w:pPr>
      <w:r>
        <w:rPr>
          <w:rFonts w:eastAsia="Times New Roman"/>
          <w:b/>
          <w:bCs/>
          <w:sz w:val="20"/>
          <w:szCs w:val="20"/>
        </w:rPr>
        <w:t>EARNI</w:t>
      </w:r>
      <w:r>
        <w:rPr>
          <w:rFonts w:eastAsia="Times New Roman"/>
          <w:b/>
          <w:bCs/>
          <w:sz w:val="20"/>
          <w:szCs w:val="20"/>
        </w:rPr>
        <w:t>NGS PER SHAR</w:t>
      </w:r>
      <w:r>
        <w:rPr>
          <w:rFonts w:eastAsia="Times New Roman"/>
          <w:b/>
          <w:bCs/>
          <w:sz w:val="20"/>
          <w:szCs w:val="20"/>
        </w:rPr>
        <w:t>E</w:t>
      </w:r>
    </w:p>
    <w:p w:rsidR="00000000" w:rsidRDefault="006D723D">
      <w:pPr>
        <w:pStyle w:val="a3"/>
        <w:spacing w:before="120" w:beforeAutospacing="0" w:after="0" w:afterAutospacing="0"/>
        <w:ind w:left="476"/>
        <w:jc w:val="both"/>
        <w:divId w:val="93324858"/>
        <w:rPr>
          <w:sz w:val="20"/>
          <w:szCs w:val="20"/>
        </w:rPr>
      </w:pPr>
      <w:r>
        <w:rPr>
          <w:sz w:val="20"/>
          <w:szCs w:val="20"/>
        </w:rPr>
        <w:t>Basic earnings per share is computed by dividing net income by the weighted average number of common shares outstanding during the year. Diluted earnings per share reflects the potential dilution that could occur if securities or other contra</w:t>
      </w:r>
      <w:r>
        <w:rPr>
          <w:sz w:val="20"/>
          <w:szCs w:val="20"/>
        </w:rPr>
        <w:t>cts to issue common stock were exercised or converted into common stock or resulted in the issuance of common stock that then shared in the earnings of the entity. For CoreCivic, diluted earnings per share is computed by dividing net income by the weighted</w:t>
      </w:r>
      <w:r>
        <w:rPr>
          <w:sz w:val="20"/>
          <w:szCs w:val="20"/>
        </w:rPr>
        <w:t xml:space="preserve"> average number of common shares after considering the additional dilution related to restricted stock-based awards, stock options, and Operating Partnership Units</w:t>
      </w:r>
      <w:r>
        <w:rPr>
          <w:sz w:val="20"/>
          <w:szCs w:val="20"/>
        </w:rPr>
        <w:t>.</w:t>
      </w:r>
    </w:p>
    <w:p w:rsidR="00000000" w:rsidRDefault="006D723D">
      <w:pPr>
        <w:pStyle w:val="a3"/>
        <w:spacing w:before="0" w:beforeAutospacing="0" w:after="0" w:afterAutospacing="0"/>
        <w:jc w:val="center"/>
        <w:divId w:val="93324858"/>
        <w:rPr>
          <w:sz w:val="20"/>
          <w:szCs w:val="20"/>
        </w:rPr>
      </w:pPr>
      <w:r>
        <w:rPr>
          <w:sz w:val="20"/>
          <w:szCs w:val="20"/>
        </w:rPr>
        <w:t>F</w:t>
      </w:r>
      <w:r>
        <w:rPr>
          <w:sz w:val="20"/>
          <w:szCs w:val="20"/>
        </w:rPr>
        <w:t>-</w:t>
      </w:r>
      <w:r>
        <w:rPr>
          <w:sz w:val="20"/>
          <w:szCs w:val="20"/>
        </w:rPr>
        <w:t>3</w:t>
      </w:r>
      <w:r>
        <w:rPr>
          <w:sz w:val="20"/>
          <w:szCs w:val="20"/>
        </w:rPr>
        <w:t>4</w:t>
      </w:r>
    </w:p>
    <w:p w:rsidR="00000000" w:rsidRDefault="006D723D">
      <w:pPr>
        <w:divId w:val="93324858"/>
        <w:rPr>
          <w:rFonts w:eastAsia="Times New Roman"/>
          <w:sz w:val="20"/>
          <w:szCs w:val="20"/>
        </w:rPr>
      </w:pPr>
      <w:r>
        <w:rPr>
          <w:rFonts w:eastAsia="Times New Roman"/>
          <w:sz w:val="20"/>
          <w:szCs w:val="20"/>
        </w:rPr>
        <w:pict>
          <v:rect id="_x0000_i1162" style="width:0;height:1.5pt" o:hralign="center" o:hrstd="t" o:hr="t" fillcolor="#a0a0a0" stroked="f"/>
        </w:pict>
      </w:r>
    </w:p>
    <w:p w:rsidR="00000000" w:rsidRDefault="006D723D">
      <w:pPr>
        <w:pStyle w:val="a3"/>
        <w:spacing w:before="0" w:beforeAutospacing="0" w:after="0" w:afterAutospacing="0"/>
        <w:divId w:val="93324858"/>
        <w:rPr>
          <w:sz w:val="20"/>
          <w:szCs w:val="20"/>
        </w:rPr>
      </w:pPr>
      <w:r>
        <w:rPr>
          <w:sz w:val="20"/>
          <w:szCs w:val="20"/>
        </w:rPr>
        <w:t> </w:t>
      </w:r>
    </w:p>
    <w:p w:rsidR="00000000" w:rsidRDefault="006D723D">
      <w:pPr>
        <w:pStyle w:val="a3"/>
        <w:spacing w:before="240" w:beforeAutospacing="0" w:after="0" w:afterAutospacing="0"/>
        <w:ind w:left="476"/>
        <w:jc w:val="both"/>
        <w:divId w:val="1516505199"/>
        <w:rPr>
          <w:sz w:val="20"/>
          <w:szCs w:val="20"/>
        </w:rPr>
      </w:pPr>
      <w:r>
        <w:rPr>
          <w:sz w:val="20"/>
          <w:szCs w:val="20"/>
        </w:rPr>
        <w:t>A reconciliation of the numerator and denominator of the basic earnings per share computation to the numerator and denominator of the diluted earnings per share computation is as follows (in thousands, except per share data)</w:t>
      </w:r>
      <w:r>
        <w:rPr>
          <w:sz w:val="20"/>
          <w:szCs w:val="20"/>
        </w:rPr>
        <w:t>:</w:t>
      </w:r>
    </w:p>
    <w:p w:rsidR="00000000" w:rsidRDefault="006D723D">
      <w:pPr>
        <w:pStyle w:val="a3"/>
        <w:spacing w:before="0" w:beforeAutospacing="0" w:after="0" w:afterAutospacing="0"/>
        <w:jc w:val="both"/>
        <w:divId w:val="1516505199"/>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343"/>
        <w:gridCol w:w="110"/>
        <w:gridCol w:w="160"/>
        <w:gridCol w:w="710"/>
        <w:gridCol w:w="110"/>
        <w:gridCol w:w="110"/>
        <w:gridCol w:w="160"/>
        <w:gridCol w:w="710"/>
        <w:gridCol w:w="127"/>
        <w:gridCol w:w="110"/>
        <w:gridCol w:w="160"/>
        <w:gridCol w:w="710"/>
        <w:gridCol w:w="125"/>
      </w:tblGrid>
      <w:tr w:rsidR="00000000">
        <w:trPr>
          <w:divId w:val="1516505199"/>
          <w:tblCellSpacing w:w="15" w:type="dxa"/>
        </w:trPr>
        <w:tc>
          <w:tcPr>
            <w:tcW w:w="2814" w:type="pct"/>
            <w:vAlign w:val="center"/>
            <w:hideMark/>
          </w:tcPr>
          <w:p w:rsidR="00000000" w:rsidRDefault="006D723D">
            <w:pPr>
              <w:rPr>
                <w:sz w:val="20"/>
                <w:szCs w:val="20"/>
              </w:rPr>
            </w:pPr>
          </w:p>
        </w:tc>
        <w:tc>
          <w:tcPr>
            <w:tcW w:w="6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5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67"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5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divId w:val="1516505199"/>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6D723D">
            <w:pPr>
              <w:pStyle w:val="a3"/>
              <w:spacing w:before="0" w:beforeAutospacing="0" w:after="0" w:afterAutospacing="0"/>
              <w:jc w:val="center"/>
              <w:rPr>
                <w:sz w:val="16"/>
                <w:szCs w:val="16"/>
              </w:rPr>
            </w:pPr>
            <w:r>
              <w:rPr>
                <w:sz w:val="16"/>
                <w:szCs w:val="16"/>
              </w:rPr>
              <w:t>For the Years Ended December 31</w:t>
            </w:r>
            <w:r>
              <w:rPr>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1516505199"/>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sz w:val="16"/>
                <w:szCs w:val="16"/>
              </w:rPr>
              <w:t>202</w:t>
            </w:r>
            <w:r>
              <w:rPr>
                <w:sz w:val="16"/>
                <w:szCs w:val="16"/>
              </w:rPr>
              <w:t>1</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sz w:val="16"/>
                <w:szCs w:val="16"/>
              </w:rPr>
              <w:t>202</w:t>
            </w:r>
            <w:r>
              <w:rPr>
                <w:sz w:val="16"/>
                <w:szCs w:val="16"/>
              </w:rPr>
              <w:t>0</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1516505199"/>
          <w:trHeight w:val="200"/>
          <w:tblCellSpacing w:w="15" w:type="dxa"/>
        </w:trPr>
        <w:tc>
          <w:tcPr>
            <w:tcW w:w="0" w:type="auto"/>
            <w:hideMark/>
          </w:tcPr>
          <w:p w:rsidR="00000000" w:rsidRDefault="006D723D">
            <w:pPr>
              <w:pStyle w:val="a3"/>
              <w:spacing w:before="0" w:beforeAutospacing="0" w:after="0" w:afterAutospacing="0"/>
              <w:rPr>
                <w:sz w:val="20"/>
                <w:szCs w:val="20"/>
              </w:rPr>
            </w:pPr>
            <w:r>
              <w:rPr>
                <w:b/>
                <w:bCs/>
                <w:sz w:val="20"/>
                <w:szCs w:val="20"/>
              </w:rPr>
              <w:t>NUMERATO</w:t>
            </w:r>
            <w:r>
              <w:rPr>
                <w:b/>
                <w:bCs/>
                <w:sz w:val="20"/>
                <w:szCs w:val="20"/>
              </w:rPr>
              <w:t>R</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divId w:val="1516505199"/>
          <w:trHeight w:val="200"/>
          <w:tblCellSpacing w:w="15" w:type="dxa"/>
        </w:trPr>
        <w:tc>
          <w:tcPr>
            <w:tcW w:w="0" w:type="auto"/>
            <w:hideMark/>
          </w:tcPr>
          <w:p w:rsidR="00000000" w:rsidRDefault="006D723D">
            <w:pPr>
              <w:pStyle w:val="a3"/>
              <w:spacing w:before="0" w:beforeAutospacing="0" w:after="0" w:afterAutospacing="0"/>
              <w:rPr>
                <w:sz w:val="20"/>
                <w:szCs w:val="20"/>
              </w:rPr>
            </w:pPr>
            <w:r>
              <w:rPr>
                <w:b/>
                <w:bCs/>
                <w:sz w:val="20"/>
                <w:szCs w:val="20"/>
              </w:rPr>
              <w:t>Basic</w:t>
            </w: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divId w:val="1516505199"/>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 xml:space="preserve">Net income (loss) attributable to common </w:t>
            </w:r>
            <w:r>
              <w:rPr>
                <w:sz w:val="20"/>
                <w:szCs w:val="20"/>
              </w:rPr>
              <w:br/>
              <w:t>   stockholder</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122,32</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51,89</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54,15</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6505199"/>
          <w:trHeight w:val="200"/>
          <w:tblCellSpacing w:w="15" w:type="dxa"/>
        </w:trPr>
        <w:tc>
          <w:tcPr>
            <w:tcW w:w="0" w:type="auto"/>
            <w:hideMark/>
          </w:tcPr>
          <w:p w:rsidR="00000000" w:rsidRDefault="006D723D">
            <w:pPr>
              <w:pStyle w:val="a3"/>
              <w:spacing w:before="0" w:beforeAutospacing="0" w:after="0" w:afterAutospacing="0"/>
              <w:rPr>
                <w:sz w:val="20"/>
                <w:szCs w:val="20"/>
              </w:rPr>
            </w:pPr>
            <w:r>
              <w:rPr>
                <w:b/>
                <w:bCs/>
                <w:sz w:val="20"/>
                <w:szCs w:val="20"/>
              </w:rPr>
              <w:t>Diluted</w:t>
            </w: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divId w:val="1516505199"/>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 xml:space="preserve">Net income (loss) attributable to common </w:t>
            </w:r>
            <w:r>
              <w:rPr>
                <w:sz w:val="20"/>
                <w:szCs w:val="20"/>
              </w:rPr>
              <w:br/>
              <w:t>   stockholder</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122,32</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51,89</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54,15</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6505199"/>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Net income attributable to non-controlling</w:t>
            </w:r>
            <w:r>
              <w:rPr>
                <w:sz w:val="20"/>
                <w:szCs w:val="20"/>
              </w:rPr>
              <w:br/>
              <w:t>   interes</w:t>
            </w:r>
            <w:r>
              <w:rPr>
                <w:sz w:val="20"/>
                <w:szCs w:val="20"/>
              </w:rPr>
              <w:t>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1,18</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6505199"/>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Diluted net income (loss) attributable to common</w:t>
            </w:r>
            <w:r>
              <w:rPr>
                <w:sz w:val="20"/>
                <w:szCs w:val="20"/>
              </w:rPr>
              <w:br/>
              <w:t>   stockholder</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122,32</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51,89</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55,33</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6505199"/>
          <w:trHeight w:val="200"/>
          <w:tblCellSpacing w:w="15" w:type="dxa"/>
        </w:trPr>
        <w:tc>
          <w:tcPr>
            <w:tcW w:w="0" w:type="auto"/>
            <w:hideMark/>
          </w:tcPr>
          <w:p w:rsidR="00000000" w:rsidRDefault="006D723D">
            <w:pPr>
              <w:pStyle w:val="a3"/>
              <w:spacing w:before="0" w:beforeAutospacing="0" w:after="0" w:afterAutospacing="0"/>
              <w:rPr>
                <w:sz w:val="20"/>
                <w:szCs w:val="20"/>
              </w:rPr>
            </w:pPr>
            <w:r>
              <w:rPr>
                <w:b/>
                <w:bCs/>
                <w:sz w:val="20"/>
                <w:szCs w:val="20"/>
              </w:rPr>
              <w:t>DENOMINATO</w:t>
            </w:r>
            <w:r>
              <w:rPr>
                <w:b/>
                <w:bCs/>
                <w:sz w:val="20"/>
                <w:szCs w:val="20"/>
              </w:rPr>
              <w:t>R</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6505199"/>
          <w:trHeight w:val="200"/>
          <w:tblCellSpacing w:w="15" w:type="dxa"/>
        </w:trPr>
        <w:tc>
          <w:tcPr>
            <w:tcW w:w="0" w:type="auto"/>
            <w:hideMark/>
          </w:tcPr>
          <w:p w:rsidR="00000000" w:rsidRDefault="006D723D">
            <w:pPr>
              <w:pStyle w:val="a3"/>
              <w:spacing w:before="0" w:beforeAutospacing="0" w:after="0" w:afterAutospacing="0"/>
              <w:rPr>
                <w:sz w:val="20"/>
                <w:szCs w:val="20"/>
              </w:rPr>
            </w:pPr>
            <w:r>
              <w:rPr>
                <w:b/>
                <w:bCs/>
                <w:sz w:val="20"/>
                <w:szCs w:val="20"/>
              </w:rPr>
              <w:t>Basic</w:t>
            </w: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6505199"/>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Weighted average common shares outstandin</w:t>
            </w:r>
            <w:r>
              <w:rPr>
                <w:sz w:val="20"/>
                <w:szCs w:val="20"/>
              </w:rPr>
              <w:t>g</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118,19</w:t>
            </w:r>
            <w:r>
              <w:rPr>
                <w:b/>
                <w:bCs/>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120,19</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119,55</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6505199"/>
          <w:trHeight w:val="200"/>
          <w:tblCellSpacing w:w="15" w:type="dxa"/>
        </w:trPr>
        <w:tc>
          <w:tcPr>
            <w:tcW w:w="0" w:type="auto"/>
            <w:hideMark/>
          </w:tcPr>
          <w:p w:rsidR="00000000" w:rsidRDefault="006D723D">
            <w:pPr>
              <w:pStyle w:val="a3"/>
              <w:spacing w:before="0" w:beforeAutospacing="0" w:after="0" w:afterAutospacing="0"/>
              <w:rPr>
                <w:sz w:val="20"/>
                <w:szCs w:val="20"/>
              </w:rPr>
            </w:pPr>
            <w:r>
              <w:rPr>
                <w:b/>
                <w:bCs/>
                <w:sz w:val="20"/>
                <w:szCs w:val="20"/>
              </w:rPr>
              <w:t>Diluted</w:t>
            </w:r>
            <w:r>
              <w:rPr>
                <w:b/>
                <w:bCs/>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6505199"/>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Weighted average common shares outstandin</w:t>
            </w:r>
            <w:r>
              <w:rPr>
                <w:sz w:val="20"/>
                <w:szCs w:val="20"/>
              </w:rPr>
              <w:t>g</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118,19</w:t>
            </w:r>
            <w:r>
              <w:rPr>
                <w:b/>
                <w:bCs/>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120,19</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119,55</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6505199"/>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Effect of dilutive securities</w:t>
            </w: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6505199"/>
          <w:trHeight w:val="200"/>
          <w:tblCellSpacing w:w="15" w:type="dxa"/>
        </w:trPr>
        <w:tc>
          <w:tcPr>
            <w:tcW w:w="0" w:type="auto"/>
            <w:hideMark/>
          </w:tcPr>
          <w:p w:rsidR="00000000" w:rsidRDefault="006D723D">
            <w:pPr>
              <w:pStyle w:val="a3"/>
              <w:spacing w:before="0" w:beforeAutospacing="0" w:after="0" w:afterAutospacing="0"/>
              <w:ind w:left="400"/>
              <w:rPr>
                <w:sz w:val="20"/>
                <w:szCs w:val="20"/>
              </w:rPr>
            </w:pPr>
            <w:r>
              <w:rPr>
                <w:sz w:val="20"/>
                <w:szCs w:val="20"/>
              </w:rPr>
              <w:t>Restricted stock-based award</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89</w:t>
            </w:r>
            <w:r>
              <w:rPr>
                <w:b/>
                <w:bCs/>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6505199"/>
          <w:trHeight w:val="200"/>
          <w:tblCellSpacing w:w="15" w:type="dxa"/>
        </w:trPr>
        <w:tc>
          <w:tcPr>
            <w:tcW w:w="0" w:type="auto"/>
            <w:hideMark/>
          </w:tcPr>
          <w:p w:rsidR="00000000" w:rsidRDefault="006D723D">
            <w:pPr>
              <w:pStyle w:val="a3"/>
              <w:spacing w:before="0" w:beforeAutospacing="0" w:after="0" w:afterAutospacing="0"/>
              <w:ind w:left="400"/>
              <w:rPr>
                <w:sz w:val="20"/>
                <w:szCs w:val="20"/>
              </w:rPr>
            </w:pPr>
            <w:r>
              <w:rPr>
                <w:sz w:val="20"/>
                <w:szCs w:val="20"/>
              </w:rPr>
              <w:t>Non-controlling interest - Operating</w:t>
            </w:r>
            <w:r>
              <w:rPr>
                <w:sz w:val="20"/>
                <w:szCs w:val="20"/>
              </w:rPr>
              <w:br/>
              <w:t>   Partnership Unit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1,34</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6505199"/>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Weighted average shares and assumed</w:t>
            </w:r>
            <w:r>
              <w:rPr>
                <w:sz w:val="20"/>
                <w:szCs w:val="20"/>
              </w:rPr>
              <w:br/>
              <w:t>   conversion</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119,09</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120,19</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120,92</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6505199"/>
          <w:trHeight w:val="200"/>
          <w:tblCellSpacing w:w="15" w:type="dxa"/>
        </w:trPr>
        <w:tc>
          <w:tcPr>
            <w:tcW w:w="0" w:type="auto"/>
            <w:hideMark/>
          </w:tcPr>
          <w:p w:rsidR="00000000" w:rsidRDefault="006D723D">
            <w:pPr>
              <w:pStyle w:val="a3"/>
              <w:spacing w:before="0" w:beforeAutospacing="0" w:after="0" w:afterAutospacing="0"/>
              <w:rPr>
                <w:sz w:val="20"/>
                <w:szCs w:val="20"/>
              </w:rPr>
            </w:pPr>
            <w:r>
              <w:rPr>
                <w:b/>
                <w:bCs/>
                <w:sz w:val="20"/>
                <w:szCs w:val="20"/>
              </w:rPr>
              <w:t>BASIC EARNINGS (LOSS) PER SHAR</w:t>
            </w:r>
            <w:r>
              <w:rPr>
                <w:b/>
                <w:bCs/>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1.0</w:t>
            </w:r>
            <w:r>
              <w:rPr>
                <w:b/>
                <w:bCs/>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0.4</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0.4</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6505199"/>
          <w:trHeight w:val="200"/>
          <w:tblCellSpacing w:w="15" w:type="dxa"/>
        </w:trPr>
        <w:tc>
          <w:tcPr>
            <w:tcW w:w="0" w:type="auto"/>
            <w:hideMark/>
          </w:tcPr>
          <w:p w:rsidR="00000000" w:rsidRDefault="006D723D">
            <w:pPr>
              <w:pStyle w:val="a3"/>
              <w:spacing w:before="0" w:beforeAutospacing="0" w:after="0" w:afterAutospacing="0"/>
              <w:rPr>
                <w:sz w:val="20"/>
                <w:szCs w:val="20"/>
              </w:rPr>
            </w:pPr>
            <w:r>
              <w:rPr>
                <w:b/>
                <w:bCs/>
                <w:sz w:val="20"/>
                <w:szCs w:val="20"/>
              </w:rPr>
              <w:t>DILUTED EARNINGS (LOSS) PER SHAR</w:t>
            </w:r>
            <w:r>
              <w:rPr>
                <w:b/>
                <w:bCs/>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1.0</w:t>
            </w:r>
            <w:r>
              <w:rPr>
                <w:b/>
                <w:bCs/>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0.4</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0.4</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bl>
    <w:p w:rsidR="00000000" w:rsidRDefault="006D723D">
      <w:pPr>
        <w:pStyle w:val="a3"/>
        <w:spacing w:before="0" w:beforeAutospacing="0" w:after="0" w:afterAutospacing="0"/>
        <w:jc w:val="both"/>
        <w:divId w:val="93324858"/>
        <w:rPr>
          <w:sz w:val="20"/>
          <w:szCs w:val="20"/>
        </w:rPr>
      </w:pPr>
      <w:r>
        <w:rPr>
          <w:sz w:val="20"/>
          <w:szCs w:val="20"/>
        </w:rPr>
        <w:t> </w:t>
      </w:r>
    </w:p>
    <w:p w:rsidR="00000000" w:rsidRDefault="006D723D">
      <w:pPr>
        <w:pStyle w:val="a3"/>
        <w:spacing w:before="40" w:beforeAutospacing="0" w:after="0" w:afterAutospacing="0"/>
        <w:ind w:left="476"/>
        <w:jc w:val="both"/>
        <w:divId w:val="93324858"/>
        <w:rPr>
          <w:sz w:val="20"/>
          <w:szCs w:val="20"/>
        </w:rPr>
      </w:pPr>
      <w:r>
        <w:rPr>
          <w:sz w:val="20"/>
          <w:szCs w:val="20"/>
        </w:rPr>
        <w:t>For the year ended December 31, 2021,</w:t>
      </w:r>
      <w:r>
        <w:rPr>
          <w:sz w:val="20"/>
          <w:szCs w:val="20"/>
        </w:rPr>
        <w:t xml:space="preserve"> </w:t>
      </w:r>
      <w:r>
        <w:rPr>
          <w:sz w:val="20"/>
          <w:szCs w:val="20"/>
        </w:rPr>
        <w:t>0.</w:t>
      </w:r>
      <w:r>
        <w:rPr>
          <w:sz w:val="20"/>
          <w:szCs w:val="20"/>
        </w:rPr>
        <w:t>5</w:t>
      </w:r>
      <w:r>
        <w:rPr>
          <w:sz w:val="20"/>
          <w:szCs w:val="20"/>
        </w:rPr>
        <w:t xml:space="preserve"> million of restricted stock-based awards and</w:t>
      </w:r>
      <w:r>
        <w:rPr>
          <w:sz w:val="20"/>
          <w:szCs w:val="20"/>
        </w:rPr>
        <w:t xml:space="preserve"> </w:t>
      </w:r>
      <w:r>
        <w:rPr>
          <w:sz w:val="20"/>
          <w:szCs w:val="20"/>
        </w:rPr>
        <w:t>1.</w:t>
      </w:r>
      <w:r>
        <w:rPr>
          <w:sz w:val="20"/>
          <w:szCs w:val="20"/>
        </w:rPr>
        <w:t>0</w:t>
      </w:r>
      <w:r>
        <w:rPr>
          <w:sz w:val="20"/>
          <w:szCs w:val="20"/>
        </w:rPr>
        <w:t xml:space="preserve"> </w:t>
      </w:r>
      <w:r>
        <w:rPr>
          <w:sz w:val="20"/>
          <w:szCs w:val="20"/>
        </w:rPr>
        <w:t>million of non-controlling interest - operating partnership units were excluded from the computation of diluted loss per share because they were anti-dilutive. In addition, approximately</w:t>
      </w:r>
      <w:r>
        <w:rPr>
          <w:sz w:val="20"/>
          <w:szCs w:val="20"/>
        </w:rPr>
        <w:t xml:space="preserve"> </w:t>
      </w:r>
      <w:r>
        <w:rPr>
          <w:sz w:val="20"/>
          <w:szCs w:val="20"/>
        </w:rPr>
        <w:t>0.</w:t>
      </w:r>
      <w:r>
        <w:rPr>
          <w:sz w:val="20"/>
          <w:szCs w:val="20"/>
        </w:rPr>
        <w:t>1</w:t>
      </w:r>
      <w:r>
        <w:rPr>
          <w:sz w:val="20"/>
          <w:szCs w:val="20"/>
        </w:rPr>
        <w:t xml:space="preserve"> million,</w:t>
      </w:r>
      <w:r>
        <w:rPr>
          <w:sz w:val="20"/>
          <w:szCs w:val="20"/>
        </w:rPr>
        <w:t xml:space="preserve"> </w:t>
      </w:r>
      <w:r>
        <w:rPr>
          <w:sz w:val="20"/>
          <w:szCs w:val="20"/>
        </w:rPr>
        <w:t>0.</w:t>
      </w:r>
      <w:r>
        <w:rPr>
          <w:sz w:val="20"/>
          <w:szCs w:val="20"/>
        </w:rPr>
        <w:t>3</w:t>
      </w:r>
      <w:r>
        <w:rPr>
          <w:sz w:val="20"/>
          <w:szCs w:val="20"/>
        </w:rPr>
        <w:t xml:space="preserve"> million, and</w:t>
      </w:r>
      <w:r>
        <w:rPr>
          <w:sz w:val="20"/>
          <w:szCs w:val="20"/>
        </w:rPr>
        <w:t xml:space="preserve"> </w:t>
      </w:r>
      <w:r>
        <w:rPr>
          <w:sz w:val="20"/>
          <w:szCs w:val="20"/>
        </w:rPr>
        <w:t>0.</w:t>
      </w:r>
      <w:r>
        <w:rPr>
          <w:sz w:val="20"/>
          <w:szCs w:val="20"/>
        </w:rPr>
        <w:t>5</w:t>
      </w:r>
      <w:r>
        <w:rPr>
          <w:sz w:val="20"/>
          <w:szCs w:val="20"/>
        </w:rPr>
        <w:t xml:space="preserve"> million of stock options were exclu</w:t>
      </w:r>
      <w:r>
        <w:rPr>
          <w:sz w:val="20"/>
          <w:szCs w:val="20"/>
        </w:rPr>
        <w:t>ded from the computations of diluted earnings (loss) per share for the years ended December 31, 2022, 2021, and 2020, respectively, because they were anti-dilutive</w:t>
      </w:r>
      <w:r>
        <w:rPr>
          <w:sz w:val="20"/>
          <w:szCs w:val="20"/>
        </w:rPr>
        <w:t>.</w:t>
      </w:r>
      <w:r>
        <w:rPr>
          <w:sz w:val="20"/>
          <w:szCs w:val="20"/>
        </w:rPr>
        <w:t xml:space="preserve"> </w:t>
      </w:r>
    </w:p>
    <w:p w:rsidR="00000000" w:rsidRDefault="006D723D">
      <w:pPr>
        <w:jc w:val="both"/>
        <w:divId w:val="1324625521"/>
        <w:rPr>
          <w:rFonts w:eastAsia="Times New Roman"/>
        </w:rPr>
      </w:pPr>
      <w:r>
        <w:rPr>
          <w:rFonts w:eastAsia="Times New Roman"/>
          <w:b/>
          <w:bCs/>
          <w:sz w:val="20"/>
          <w:szCs w:val="20"/>
        </w:rPr>
        <w:t>15</w:t>
      </w:r>
      <w:r>
        <w:rPr>
          <w:rFonts w:eastAsia="Times New Roman"/>
          <w:b/>
          <w:bCs/>
          <w:sz w:val="20"/>
          <w:szCs w:val="20"/>
        </w:rPr>
        <w:t>.</w:t>
      </w:r>
    </w:p>
    <w:p w:rsidR="00000000" w:rsidRDefault="006D723D">
      <w:pPr>
        <w:jc w:val="both"/>
        <w:divId w:val="1472792438"/>
        <w:rPr>
          <w:rFonts w:eastAsia="Times New Roman"/>
        </w:rPr>
      </w:pPr>
      <w:r>
        <w:rPr>
          <w:rFonts w:eastAsia="Times New Roman"/>
          <w:b/>
          <w:bCs/>
          <w:sz w:val="20"/>
          <w:szCs w:val="20"/>
        </w:rPr>
        <w:t>COM</w:t>
      </w:r>
      <w:r>
        <w:rPr>
          <w:rFonts w:eastAsia="Times New Roman"/>
          <w:b/>
          <w:bCs/>
          <w:sz w:val="20"/>
          <w:szCs w:val="20"/>
        </w:rPr>
        <w:t>M</w:t>
      </w:r>
      <w:r>
        <w:rPr>
          <w:rFonts w:eastAsia="Times New Roman"/>
          <w:b/>
          <w:bCs/>
          <w:sz w:val="20"/>
          <w:szCs w:val="20"/>
        </w:rPr>
        <w:t>ITMENTS AND CONTINGENCIE</w:t>
      </w:r>
      <w:r>
        <w:rPr>
          <w:rFonts w:eastAsia="Times New Roman"/>
          <w:b/>
          <w:bCs/>
          <w:sz w:val="20"/>
          <w:szCs w:val="20"/>
        </w:rPr>
        <w:t>S</w:t>
      </w:r>
    </w:p>
    <w:p w:rsidR="00000000" w:rsidRDefault="006D723D">
      <w:pPr>
        <w:pStyle w:val="a3"/>
        <w:spacing w:before="120" w:beforeAutospacing="0" w:after="0" w:afterAutospacing="0"/>
        <w:ind w:left="476"/>
        <w:jc w:val="both"/>
        <w:divId w:val="1039626565"/>
        <w:rPr>
          <w:sz w:val="20"/>
          <w:szCs w:val="20"/>
        </w:rPr>
      </w:pPr>
      <w:r>
        <w:rPr>
          <w:b/>
          <w:bCs/>
          <w:sz w:val="20"/>
          <w:szCs w:val="20"/>
        </w:rPr>
        <w:t>Legal Proceeding</w:t>
      </w:r>
      <w:r>
        <w:rPr>
          <w:b/>
          <w:bCs/>
          <w:sz w:val="20"/>
          <w:szCs w:val="20"/>
        </w:rPr>
        <w:t>s</w:t>
      </w:r>
    </w:p>
    <w:p w:rsidR="00000000" w:rsidRDefault="006D723D">
      <w:pPr>
        <w:pStyle w:val="a3"/>
        <w:spacing w:before="120" w:beforeAutospacing="0" w:after="0" w:afterAutospacing="0"/>
        <w:ind w:left="476"/>
        <w:jc w:val="both"/>
        <w:divId w:val="1039626565"/>
        <w:rPr>
          <w:sz w:val="20"/>
          <w:szCs w:val="20"/>
        </w:rPr>
      </w:pPr>
      <w:r>
        <w:rPr>
          <w:sz w:val="20"/>
          <w:szCs w:val="20"/>
        </w:rPr>
        <w:t>The nature of CoreCivic's business results in claims and litigation alleging that it is liable for damages arising from the conduct of its employees, offenders or others. The nature of such claims includes, but is not limited to, claims arising from employ</w:t>
      </w:r>
      <w:r>
        <w:rPr>
          <w:sz w:val="20"/>
          <w:szCs w:val="20"/>
        </w:rPr>
        <w:t>ee or offender misconduct, medical malpractice, employment matters, property loss, contractual claims, including claims regarding compliance with contract performance requirements, and personal injury or other damages resulting from contact with CoreCivic'</w:t>
      </w:r>
      <w:r>
        <w:rPr>
          <w:sz w:val="20"/>
          <w:szCs w:val="20"/>
        </w:rPr>
        <w:t>s facilities, personnel or offenders, including damages arising from an offender's escape or from a disturbance at a facility. CoreCivic maintains insurance to cover many of these claims, which may mitigate the risk that any single claim would have a mater</w:t>
      </w:r>
      <w:r>
        <w:rPr>
          <w:sz w:val="20"/>
          <w:szCs w:val="20"/>
        </w:rPr>
        <w:t>ial effect on CoreCivic's consolidated financial position, results of operations, or cash flows, provided the claim is one for which coverage is available. The combination of self-insured retentions and deductible amounts means that, in the aggregate, Core</w:t>
      </w:r>
      <w:r>
        <w:rPr>
          <w:sz w:val="20"/>
          <w:szCs w:val="20"/>
        </w:rPr>
        <w:t>Civic is subject to substantial self-insurance risk</w:t>
      </w:r>
      <w:r>
        <w:rPr>
          <w:sz w:val="20"/>
          <w:szCs w:val="20"/>
        </w:rPr>
        <w:t>.</w:t>
      </w:r>
      <w:r>
        <w:rPr>
          <w:sz w:val="20"/>
          <w:szCs w:val="20"/>
        </w:rPr>
        <w:t xml:space="preserve"> </w:t>
      </w:r>
    </w:p>
    <w:p w:rsidR="00000000" w:rsidRDefault="006D723D">
      <w:pPr>
        <w:pStyle w:val="a3"/>
        <w:spacing w:before="0" w:beforeAutospacing="0" w:after="0" w:afterAutospacing="0"/>
        <w:jc w:val="center"/>
        <w:divId w:val="1039626565"/>
        <w:rPr>
          <w:sz w:val="20"/>
          <w:szCs w:val="20"/>
        </w:rPr>
      </w:pPr>
      <w:r>
        <w:rPr>
          <w:sz w:val="20"/>
          <w:szCs w:val="20"/>
        </w:rPr>
        <w:t>F</w:t>
      </w:r>
      <w:r>
        <w:rPr>
          <w:sz w:val="20"/>
          <w:szCs w:val="20"/>
        </w:rPr>
        <w:t>-</w:t>
      </w:r>
      <w:r>
        <w:rPr>
          <w:sz w:val="20"/>
          <w:szCs w:val="20"/>
        </w:rPr>
        <w:t>3</w:t>
      </w:r>
      <w:r>
        <w:rPr>
          <w:sz w:val="20"/>
          <w:szCs w:val="20"/>
        </w:rPr>
        <w:t>5</w:t>
      </w:r>
    </w:p>
    <w:p w:rsidR="00000000" w:rsidRDefault="006D723D">
      <w:pPr>
        <w:divId w:val="1039626565"/>
        <w:rPr>
          <w:rFonts w:eastAsia="Times New Roman"/>
        </w:rPr>
      </w:pPr>
      <w:r>
        <w:rPr>
          <w:rFonts w:eastAsia="Times New Roman"/>
        </w:rPr>
        <w:pict>
          <v:rect id="_x0000_i1163" style="width:0;height:1.5pt" o:hralign="center" o:hrstd="t" o:hr="t" fillcolor="#a0a0a0" stroked="f"/>
        </w:pict>
      </w:r>
    </w:p>
    <w:p w:rsidR="00000000" w:rsidRDefault="006D723D">
      <w:pPr>
        <w:pStyle w:val="a3"/>
        <w:spacing w:before="0" w:beforeAutospacing="0" w:after="0" w:afterAutospacing="0"/>
        <w:divId w:val="1039626565"/>
        <w:rPr>
          <w:sz w:val="20"/>
          <w:szCs w:val="20"/>
        </w:rPr>
      </w:pPr>
      <w:r>
        <w:rPr>
          <w:sz w:val="20"/>
          <w:szCs w:val="20"/>
        </w:rPr>
        <w:t> </w:t>
      </w:r>
    </w:p>
    <w:p w:rsidR="00000000" w:rsidRDefault="006D723D">
      <w:pPr>
        <w:pStyle w:val="a3"/>
        <w:spacing w:before="240" w:beforeAutospacing="0" w:after="0" w:afterAutospacing="0"/>
        <w:ind w:left="476"/>
        <w:jc w:val="both"/>
        <w:divId w:val="1039626565"/>
        <w:rPr>
          <w:sz w:val="20"/>
          <w:szCs w:val="20"/>
        </w:rPr>
      </w:pPr>
      <w:r>
        <w:rPr>
          <w:sz w:val="20"/>
          <w:szCs w:val="20"/>
        </w:rPr>
        <w:t>Based upon management's review of the potential claims and outstanding litigation, and based upon management's experience and history of estimating losses, an</w:t>
      </w:r>
      <w:r>
        <w:rPr>
          <w:sz w:val="20"/>
          <w:szCs w:val="20"/>
        </w:rPr>
        <w:t>d taking into consideration CoreCivic's self-insured retention amounts, management believes a loss in excess of amounts already recognized would not be material to CoreCivic's financial statements. Adversarial proceedings and litigation are, however, subje</w:t>
      </w:r>
      <w:r>
        <w:rPr>
          <w:sz w:val="20"/>
          <w:szCs w:val="20"/>
        </w:rPr>
        <w:t>ct to inherent uncertainties, and unfavorable decisions and rulings resulting from legal proceedings could occur which could have a material impact on CoreCivic's consolidated financial position, results of operations, or cash flows for the period in which</w:t>
      </w:r>
      <w:r>
        <w:rPr>
          <w:sz w:val="20"/>
          <w:szCs w:val="20"/>
        </w:rPr>
        <w:t xml:space="preserve"> such decisions or rulings occur, or future periods. Expenses associated with legal proceedings may also fluctuate from quarter to quarter based on changes in CoreCivic's assumptions, new developments, or by the effectiveness of CoreCivic's litigation and </w:t>
      </w:r>
      <w:r>
        <w:rPr>
          <w:sz w:val="20"/>
          <w:szCs w:val="20"/>
        </w:rPr>
        <w:t>settlement strategies</w:t>
      </w:r>
      <w:r>
        <w:rPr>
          <w:sz w:val="20"/>
          <w:szCs w:val="20"/>
        </w:rPr>
        <w:t>.</w:t>
      </w:r>
      <w:r>
        <w:rPr>
          <w:sz w:val="20"/>
          <w:szCs w:val="20"/>
        </w:rPr>
        <w:t xml:space="preserve"> </w:t>
      </w:r>
    </w:p>
    <w:p w:rsidR="00000000" w:rsidRDefault="006D723D">
      <w:pPr>
        <w:pStyle w:val="a3"/>
        <w:spacing w:before="120" w:beforeAutospacing="0" w:after="0" w:afterAutospacing="0"/>
        <w:ind w:left="476"/>
        <w:jc w:val="both"/>
        <w:divId w:val="1039626565"/>
        <w:rPr>
          <w:sz w:val="20"/>
          <w:szCs w:val="20"/>
        </w:rPr>
      </w:pPr>
      <w:r>
        <w:rPr>
          <w:sz w:val="20"/>
          <w:szCs w:val="20"/>
        </w:rPr>
        <w:t>CoreCivic records a liability in the consolidated financial statements for loss contingencies when a loss is known or considered probable, and the amount can be reasonably estimated. If the reasonable estimate of a known or probable</w:t>
      </w:r>
      <w:r>
        <w:rPr>
          <w:sz w:val="20"/>
          <w:szCs w:val="20"/>
        </w:rPr>
        <w:t xml:space="preserve"> loss is a range, and no amount within the range is a better estimate than any other, the minimum amount of the range is accrued. If a loss is reasonably possible but not known or probable, and can be reasonably estimated, the estimated loss or range of lo</w:t>
      </w:r>
      <w:r>
        <w:rPr>
          <w:sz w:val="20"/>
          <w:szCs w:val="20"/>
        </w:rPr>
        <w:t>ss is disclosed. When determining the estimated loss or range of loss, significant judgment is required to estimate the amount and timing of a loss to be recorded. Any receivable for insurance recoveries is recorded separately from the corresponding litiga</w:t>
      </w:r>
      <w:r>
        <w:rPr>
          <w:sz w:val="20"/>
          <w:szCs w:val="20"/>
        </w:rPr>
        <w:t>tion reserve, and only if recovery is determined to be probable and the amount of payment can be determined. CoreCivic does not accrue for anticipated legal fees and costs and expenses those items as incurred</w:t>
      </w:r>
      <w:r>
        <w:rPr>
          <w:sz w:val="20"/>
          <w:szCs w:val="20"/>
        </w:rPr>
        <w:t>.</w:t>
      </w:r>
      <w:r>
        <w:rPr>
          <w:sz w:val="20"/>
          <w:szCs w:val="20"/>
        </w:rPr>
        <w:t xml:space="preserve"> </w:t>
      </w:r>
    </w:p>
    <w:p w:rsidR="00000000" w:rsidRDefault="006D723D">
      <w:pPr>
        <w:pStyle w:val="a3"/>
        <w:spacing w:before="360" w:beforeAutospacing="0" w:after="0" w:afterAutospacing="0"/>
        <w:ind w:left="476"/>
        <w:jc w:val="both"/>
        <w:divId w:val="1039626565"/>
        <w:rPr>
          <w:sz w:val="20"/>
          <w:szCs w:val="20"/>
        </w:rPr>
      </w:pPr>
      <w:r>
        <w:rPr>
          <w:i/>
          <w:iCs/>
          <w:sz w:val="20"/>
          <w:szCs w:val="20"/>
        </w:rPr>
        <w:t>ICE Detainee Labor and Related Matters</w:t>
      </w:r>
      <w:r>
        <w:rPr>
          <w:i/>
          <w:iCs/>
          <w:sz w:val="20"/>
          <w:szCs w:val="20"/>
        </w:rPr>
        <w:t>.</w:t>
      </w:r>
    </w:p>
    <w:p w:rsidR="00000000" w:rsidRDefault="006D723D">
      <w:pPr>
        <w:pStyle w:val="a3"/>
        <w:spacing w:before="120" w:beforeAutospacing="0" w:after="0" w:afterAutospacing="0"/>
        <w:ind w:left="476"/>
        <w:jc w:val="both"/>
        <w:divId w:val="1039626565"/>
        <w:rPr>
          <w:sz w:val="20"/>
          <w:szCs w:val="20"/>
        </w:rPr>
      </w:pPr>
      <w:r>
        <w:rPr>
          <w:sz w:val="20"/>
          <w:szCs w:val="20"/>
        </w:rPr>
        <w:t>On Ma</w:t>
      </w:r>
      <w:r>
        <w:rPr>
          <w:sz w:val="20"/>
          <w:szCs w:val="20"/>
        </w:rPr>
        <w:t>y 31, 2017, two former ICE detainees, who were detained at the Company's Otay Mesa Detention Center ("OMDC") in San Diego, California, filed a class action lawsuit against the Company in the United States District Court for the Southern District of Califor</w:t>
      </w:r>
      <w:r>
        <w:rPr>
          <w:sz w:val="20"/>
          <w:szCs w:val="20"/>
        </w:rPr>
        <w:t>nia. The complaint alleged that the Company forces detainees to perform labor under threat of punishment in violation of state and federal anti-trafficking laws and that OMDC's Voluntary Work Program ("VWP") violates state labor laws including state minimu</w:t>
      </w:r>
      <w:r>
        <w:rPr>
          <w:sz w:val="20"/>
          <w:szCs w:val="20"/>
        </w:rPr>
        <w:t>m wage law. ICE requires that CoreCivic offer and operate the VWP in conformance with ICE standards and ICE prescribes the minimum rate of pay for VWP participants. The Plaintiffs seek compensatory damages, exemplary damages, restitution, penalties, and in</w:t>
      </w:r>
      <w:r>
        <w:rPr>
          <w:sz w:val="20"/>
          <w:szCs w:val="20"/>
        </w:rPr>
        <w:t>terest as well as declaratory and injunctive relief on behalf of former and current detainees. On April 1, 2020, the district court certified a nationwide anti-trafficking claims class of former and current detainees at all CoreCivic ICE detention faciliti</w:t>
      </w:r>
      <w:r>
        <w:rPr>
          <w:sz w:val="20"/>
          <w:szCs w:val="20"/>
        </w:rPr>
        <w:t>es. It also certified a state law class of former and current detainees at the Company's ICE detention facilities in California. The court did not certify any claims for injunctive or declaratory relief. On March 10, 2021, the Ninth Circuit Court of Appeal</w:t>
      </w:r>
      <w:r>
        <w:rPr>
          <w:sz w:val="20"/>
          <w:szCs w:val="20"/>
        </w:rPr>
        <w:t>s granted CoreCivic's petition to appeal the class certification ruling. On June 3, 2022, a three-judge panel of the Ninth Circuit affirmed the class certification ruling.</w:t>
      </w:r>
      <w:r>
        <w:rPr>
          <w:sz w:val="20"/>
          <w:szCs w:val="20"/>
        </w:rPr>
        <w:t xml:space="preserve"> </w:t>
      </w:r>
      <w:r>
        <w:rPr>
          <w:sz w:val="20"/>
          <w:szCs w:val="20"/>
        </w:rPr>
        <w:t>Following the three-judge panel affirmance, the Company petitioned the Ninth Circuit</w:t>
      </w:r>
      <w:r>
        <w:rPr>
          <w:sz w:val="20"/>
          <w:szCs w:val="20"/>
        </w:rPr>
        <w:t xml:space="preserve"> for a discretionary appellate review, which was denied. On January 3, 2023, the Ninth Circuit Court granted the Company's motion to stay its mandate during the pendency of the Company's petition for Supreme Court review</w:t>
      </w:r>
      <w:r>
        <w:rPr>
          <w:sz w:val="20"/>
          <w:szCs w:val="20"/>
        </w:rPr>
        <w:t>.</w:t>
      </w:r>
      <w:r>
        <w:rPr>
          <w:sz w:val="20"/>
          <w:szCs w:val="20"/>
        </w:rPr>
        <w:t xml:space="preserve"> </w:t>
      </w:r>
    </w:p>
    <w:p w:rsidR="00000000" w:rsidRDefault="006D723D">
      <w:pPr>
        <w:pStyle w:val="a3"/>
        <w:spacing w:before="120" w:beforeAutospacing="0" w:after="0" w:afterAutospacing="0"/>
        <w:ind w:left="476"/>
        <w:jc w:val="both"/>
        <w:divId w:val="1039626565"/>
        <w:rPr>
          <w:sz w:val="20"/>
          <w:szCs w:val="20"/>
        </w:rPr>
      </w:pPr>
      <w:r>
        <w:rPr>
          <w:sz w:val="20"/>
          <w:szCs w:val="20"/>
        </w:rPr>
        <w:t>Since this case was filed, four s</w:t>
      </w:r>
      <w:r>
        <w:rPr>
          <w:sz w:val="20"/>
          <w:szCs w:val="20"/>
        </w:rPr>
        <w:t>imilar lawsuits have been filed. A Maryland case was dismissed on September 27, 2019, and the dismissal was affirmed on appeal. Two suits filed in Georgia and Texas do not allege minimum wage violations; and the Texas case was voluntarily dismissed on Marc</w:t>
      </w:r>
      <w:r>
        <w:rPr>
          <w:sz w:val="20"/>
          <w:szCs w:val="20"/>
        </w:rPr>
        <w:t xml:space="preserve">h 14, 2022, while the Georgia case is still ongoing. A second California suit concerning the Otay Mesa facility has been stayed pending the outcome of class proceedings in the first. The Company disputes these allegations and intends to take all necessary </w:t>
      </w:r>
      <w:r>
        <w:rPr>
          <w:sz w:val="20"/>
          <w:szCs w:val="20"/>
        </w:rPr>
        <w:t>steps to vigorously defend itself against all claims</w:t>
      </w:r>
      <w:r>
        <w:rPr>
          <w:sz w:val="20"/>
          <w:szCs w:val="20"/>
        </w:rPr>
        <w:t>.</w:t>
      </w:r>
    </w:p>
    <w:p w:rsidR="00000000" w:rsidRDefault="006D723D">
      <w:pPr>
        <w:pStyle w:val="a3"/>
        <w:spacing w:before="240" w:beforeAutospacing="0" w:after="0" w:afterAutospacing="0"/>
        <w:ind w:left="476"/>
        <w:jc w:val="both"/>
        <w:divId w:val="1039626565"/>
        <w:rPr>
          <w:sz w:val="20"/>
          <w:szCs w:val="20"/>
        </w:rPr>
      </w:pPr>
      <w:r>
        <w:rPr>
          <w:sz w:val="20"/>
          <w:szCs w:val="20"/>
        </w:rPr>
        <w:t>Due to the stage of this proceeding, the Company cannot reasonably predict the outcome, nor can it estimate the amount of loss or range of loss, if any, that may result. As a result, the Company has not</w:t>
      </w:r>
      <w:r>
        <w:rPr>
          <w:sz w:val="20"/>
          <w:szCs w:val="20"/>
        </w:rPr>
        <w:t xml:space="preserve"> recorded an accrual relating to this matter at this time, as losses are not considered probable or reasonably estimable at this stage of these lawsuits</w:t>
      </w:r>
      <w:r>
        <w:rPr>
          <w:sz w:val="20"/>
          <w:szCs w:val="20"/>
        </w:rPr>
        <w:t>.</w:t>
      </w:r>
    </w:p>
    <w:p w:rsidR="00000000" w:rsidRDefault="006D723D">
      <w:pPr>
        <w:pStyle w:val="a3"/>
        <w:spacing w:before="0" w:beforeAutospacing="0" w:after="0" w:afterAutospacing="0"/>
        <w:jc w:val="center"/>
        <w:divId w:val="1039626565"/>
        <w:rPr>
          <w:sz w:val="20"/>
          <w:szCs w:val="20"/>
        </w:rPr>
      </w:pPr>
      <w:r>
        <w:rPr>
          <w:sz w:val="20"/>
          <w:szCs w:val="20"/>
        </w:rPr>
        <w:t>F</w:t>
      </w:r>
      <w:r>
        <w:rPr>
          <w:sz w:val="20"/>
          <w:szCs w:val="20"/>
        </w:rPr>
        <w:t>-</w:t>
      </w:r>
      <w:r>
        <w:rPr>
          <w:sz w:val="20"/>
          <w:szCs w:val="20"/>
        </w:rPr>
        <w:t>3</w:t>
      </w:r>
      <w:r>
        <w:rPr>
          <w:sz w:val="20"/>
          <w:szCs w:val="20"/>
        </w:rPr>
        <w:t>6</w:t>
      </w:r>
    </w:p>
    <w:p w:rsidR="00000000" w:rsidRDefault="006D723D">
      <w:pPr>
        <w:divId w:val="1039626565"/>
        <w:rPr>
          <w:rFonts w:eastAsia="Times New Roman"/>
        </w:rPr>
      </w:pPr>
      <w:r>
        <w:rPr>
          <w:rFonts w:eastAsia="Times New Roman"/>
        </w:rPr>
        <w:pict>
          <v:rect id="_x0000_i1164" style="width:0;height:1.5pt" o:hralign="center" o:hrstd="t" o:hr="t" fillcolor="#a0a0a0" stroked="f"/>
        </w:pict>
      </w:r>
    </w:p>
    <w:p w:rsidR="00000000" w:rsidRDefault="006D723D">
      <w:pPr>
        <w:pStyle w:val="a3"/>
        <w:spacing w:before="0" w:beforeAutospacing="0" w:after="0" w:afterAutospacing="0"/>
        <w:divId w:val="1039626565"/>
        <w:rPr>
          <w:sz w:val="20"/>
          <w:szCs w:val="20"/>
        </w:rPr>
      </w:pPr>
      <w:r>
        <w:rPr>
          <w:sz w:val="20"/>
          <w:szCs w:val="20"/>
        </w:rPr>
        <w:t> </w:t>
      </w:r>
    </w:p>
    <w:p w:rsidR="00000000" w:rsidRDefault="006D723D">
      <w:pPr>
        <w:pStyle w:val="a3"/>
        <w:spacing w:before="360" w:beforeAutospacing="0" w:after="0" w:afterAutospacing="0"/>
        <w:ind w:left="476"/>
        <w:jc w:val="both"/>
        <w:divId w:val="1039626565"/>
        <w:rPr>
          <w:sz w:val="20"/>
          <w:szCs w:val="20"/>
        </w:rPr>
      </w:pPr>
      <w:r>
        <w:rPr>
          <w:i/>
          <w:iCs/>
          <w:sz w:val="20"/>
          <w:szCs w:val="20"/>
        </w:rPr>
        <w:t>Shareholder Litigation</w:t>
      </w:r>
      <w:r>
        <w:rPr>
          <w:i/>
          <w:iCs/>
          <w:sz w:val="20"/>
          <w:szCs w:val="20"/>
        </w:rPr>
        <w:t>.</w:t>
      </w:r>
    </w:p>
    <w:p w:rsidR="00000000" w:rsidRDefault="006D723D">
      <w:pPr>
        <w:pStyle w:val="a3"/>
        <w:spacing w:before="120" w:beforeAutospacing="0" w:after="0" w:afterAutospacing="0"/>
        <w:ind w:left="476"/>
        <w:jc w:val="both"/>
        <w:divId w:val="1039626565"/>
        <w:rPr>
          <w:sz w:val="20"/>
          <w:szCs w:val="20"/>
        </w:rPr>
      </w:pPr>
      <w:r>
        <w:rPr>
          <w:sz w:val="20"/>
          <w:szCs w:val="20"/>
        </w:rPr>
        <w:t>In a memorandum to the BOP dated A</w:t>
      </w:r>
      <w:r>
        <w:rPr>
          <w:sz w:val="20"/>
          <w:szCs w:val="20"/>
        </w:rPr>
        <w:t>ugust 18, 2016, the DOJ directed that, as each contract with privately operated prisons reaches the end of its term, the BOP should either decline to renew that contract or substantially reduce its scope in a manner consistent with law and the overall decl</w:t>
      </w:r>
      <w:r>
        <w:rPr>
          <w:sz w:val="20"/>
          <w:szCs w:val="20"/>
        </w:rPr>
        <w:t>ine of the BOP's inmate population. Following the release of the August 18, 2016 DOJ memorandum, a securities class action lawsuit was filed on August 23, 2016 against the Company and certain of its current and former officers in the United States District</w:t>
      </w:r>
      <w:r>
        <w:rPr>
          <w:sz w:val="20"/>
          <w:szCs w:val="20"/>
        </w:rPr>
        <w:t xml:space="preserve"> Court for the Middle District of Tennessee (the "District Court"), captioned</w:t>
      </w:r>
      <w:r>
        <w:rPr>
          <w:sz w:val="20"/>
          <w:szCs w:val="20"/>
        </w:rPr>
        <w:t xml:space="preserve"> </w:t>
      </w:r>
      <w:r>
        <w:rPr>
          <w:i/>
          <w:iCs/>
          <w:sz w:val="20"/>
          <w:szCs w:val="20"/>
        </w:rPr>
        <w:t>Grae v. Corrections Corporation of America et al</w:t>
      </w:r>
      <w:r>
        <w:rPr>
          <w:i/>
          <w:iCs/>
          <w:sz w:val="20"/>
          <w:szCs w:val="20"/>
        </w:rPr>
        <w:t>.</w:t>
      </w:r>
      <w:r>
        <w:rPr>
          <w:sz w:val="20"/>
          <w:szCs w:val="20"/>
        </w:rPr>
        <w:t>, Case No. 3:16-cv-02267. The Company settled this lawsuit in April 2021. The settlement, which was approved by the District Cour</w:t>
      </w:r>
      <w:r>
        <w:rPr>
          <w:sz w:val="20"/>
          <w:szCs w:val="20"/>
        </w:rPr>
        <w:t xml:space="preserve">t on November 8, 2021, contains no admission of liability, wrongdoing, or responsibility by any of the defendants including the Company. The Company paid the settlement amount of </w:t>
      </w:r>
      <w:r>
        <w:rPr>
          <w:sz w:val="20"/>
          <w:szCs w:val="20"/>
        </w:rPr>
        <w:t>$</w:t>
      </w:r>
      <w:r>
        <w:rPr>
          <w:sz w:val="20"/>
          <w:szCs w:val="20"/>
        </w:rPr>
        <w:t>56.</w:t>
      </w:r>
      <w:r>
        <w:rPr>
          <w:sz w:val="20"/>
          <w:szCs w:val="20"/>
        </w:rPr>
        <w:t>0</w:t>
      </w:r>
      <w:r>
        <w:rPr>
          <w:sz w:val="20"/>
          <w:szCs w:val="20"/>
        </w:rPr>
        <w:t xml:space="preserve"> million in May 2021. As a result of the settlement, the Company recogni</w:t>
      </w:r>
      <w:r>
        <w:rPr>
          <w:sz w:val="20"/>
          <w:szCs w:val="20"/>
        </w:rPr>
        <w:t xml:space="preserve">zed an expense of </w:t>
      </w:r>
      <w:r>
        <w:rPr>
          <w:sz w:val="20"/>
          <w:szCs w:val="20"/>
        </w:rPr>
        <w:t>$</w:t>
      </w:r>
      <w:r>
        <w:rPr>
          <w:sz w:val="20"/>
          <w:szCs w:val="20"/>
        </w:rPr>
        <w:t>54.</w:t>
      </w:r>
      <w:r>
        <w:rPr>
          <w:sz w:val="20"/>
          <w:szCs w:val="20"/>
        </w:rPr>
        <w:t>3</w:t>
      </w:r>
      <w:r>
        <w:rPr>
          <w:sz w:val="20"/>
          <w:szCs w:val="20"/>
        </w:rPr>
        <w:t xml:space="preserve"> million during the year ended December 31, 2021, which was net of the remaining insurance available under the Company's policies</w:t>
      </w:r>
      <w:r>
        <w:rPr>
          <w:sz w:val="20"/>
          <w:szCs w:val="20"/>
        </w:rPr>
        <w:t>.</w:t>
      </w:r>
      <w:r>
        <w:rPr>
          <w:sz w:val="20"/>
          <w:szCs w:val="20"/>
        </w:rPr>
        <w:t xml:space="preserve"> </w:t>
      </w:r>
    </w:p>
    <w:p w:rsidR="00000000" w:rsidRDefault="006D723D">
      <w:pPr>
        <w:pStyle w:val="a3"/>
        <w:spacing w:before="240" w:beforeAutospacing="0" w:after="0" w:afterAutospacing="0"/>
        <w:ind w:left="476"/>
        <w:jc w:val="both"/>
        <w:divId w:val="1039626565"/>
        <w:rPr>
          <w:sz w:val="20"/>
          <w:szCs w:val="20"/>
        </w:rPr>
      </w:pPr>
      <w:r>
        <w:rPr>
          <w:sz w:val="20"/>
          <w:szCs w:val="20"/>
        </w:rPr>
        <w:t>The Company was also named along with several of our directors in six derivative lawsuits which raise similar allegations to those raised in the</w:t>
      </w:r>
      <w:r>
        <w:rPr>
          <w:sz w:val="20"/>
          <w:szCs w:val="20"/>
        </w:rPr>
        <w:t xml:space="preserve"> </w:t>
      </w:r>
      <w:r>
        <w:rPr>
          <w:i/>
          <w:iCs/>
          <w:sz w:val="20"/>
          <w:szCs w:val="20"/>
        </w:rPr>
        <w:t>Gra</w:t>
      </w:r>
      <w:r>
        <w:rPr>
          <w:i/>
          <w:iCs/>
          <w:sz w:val="20"/>
          <w:szCs w:val="20"/>
        </w:rPr>
        <w:t>e</w:t>
      </w:r>
      <w:r>
        <w:rPr>
          <w:sz w:val="20"/>
          <w:szCs w:val="20"/>
        </w:rPr>
        <w:t xml:space="preserve"> securities litigation. On June 17, 2022, CoreCivic and derivative plaintiffs informed the District Court t</w:t>
      </w:r>
      <w:r>
        <w:rPr>
          <w:sz w:val="20"/>
          <w:szCs w:val="20"/>
        </w:rPr>
        <w:t xml:space="preserve">hat the parties had reached an agreement as to the plaintiffs' attorneys' fees and expenses, including </w:t>
      </w:r>
      <w:r>
        <w:rPr>
          <w:sz w:val="20"/>
          <w:szCs w:val="20"/>
        </w:rPr>
        <w:t>$</w:t>
      </w:r>
      <w:r>
        <w:rPr>
          <w:sz w:val="20"/>
          <w:szCs w:val="20"/>
        </w:rPr>
        <w:t>1.</w:t>
      </w:r>
      <w:r>
        <w:rPr>
          <w:sz w:val="20"/>
          <w:szCs w:val="20"/>
        </w:rPr>
        <w:t>9</w:t>
      </w:r>
      <w:r>
        <w:rPr>
          <w:sz w:val="20"/>
          <w:szCs w:val="20"/>
        </w:rPr>
        <w:t xml:space="preserve"> million the Company expensed during the year ended December 31, 2022. The final settlement, which was approved by the District Court on December 2, </w:t>
      </w:r>
      <w:r>
        <w:rPr>
          <w:sz w:val="20"/>
          <w:szCs w:val="20"/>
        </w:rPr>
        <w:t>2022, also calls for the Company to adopt certain governance changes, which the Company is implementin</w:t>
      </w:r>
      <w:r>
        <w:rPr>
          <w:sz w:val="20"/>
          <w:szCs w:val="20"/>
        </w:rPr>
        <w:t>g</w:t>
      </w:r>
      <w:r>
        <w:rPr>
          <w:sz w:val="20"/>
          <w:szCs w:val="20"/>
        </w:rPr>
        <w:t>.</w:t>
      </w:r>
      <w:r>
        <w:rPr>
          <w:sz w:val="20"/>
          <w:szCs w:val="20"/>
        </w:rPr>
        <w:t xml:space="preserve"> </w:t>
      </w:r>
    </w:p>
    <w:p w:rsidR="00000000" w:rsidRDefault="006D723D">
      <w:pPr>
        <w:pStyle w:val="a3"/>
        <w:spacing w:before="360" w:beforeAutospacing="0" w:after="0" w:afterAutospacing="0"/>
        <w:ind w:left="476"/>
        <w:jc w:val="both"/>
        <w:divId w:val="1039626565"/>
        <w:rPr>
          <w:sz w:val="20"/>
          <w:szCs w:val="20"/>
        </w:rPr>
      </w:pPr>
      <w:r>
        <w:rPr>
          <w:b/>
          <w:bCs/>
          <w:sz w:val="20"/>
          <w:szCs w:val="20"/>
        </w:rPr>
        <w:t>Insurance Contingencie</w:t>
      </w:r>
      <w:r>
        <w:rPr>
          <w:b/>
          <w:bCs/>
          <w:sz w:val="20"/>
          <w:szCs w:val="20"/>
        </w:rPr>
        <w:t>s</w:t>
      </w:r>
    </w:p>
    <w:p w:rsidR="00000000" w:rsidRDefault="006D723D">
      <w:pPr>
        <w:pStyle w:val="a3"/>
        <w:spacing w:before="120" w:beforeAutospacing="0" w:after="0" w:afterAutospacing="0"/>
        <w:ind w:left="476"/>
        <w:jc w:val="both"/>
        <w:divId w:val="1039626565"/>
        <w:rPr>
          <w:sz w:val="20"/>
          <w:szCs w:val="20"/>
        </w:rPr>
      </w:pPr>
      <w:r>
        <w:rPr>
          <w:sz w:val="20"/>
          <w:szCs w:val="20"/>
        </w:rPr>
        <w:t>Each of CoreCivic's management contracts and the statutes of certain states require the maintenance of insurance. CoreCivic ma</w:t>
      </w:r>
      <w:r>
        <w:rPr>
          <w:sz w:val="20"/>
          <w:szCs w:val="20"/>
        </w:rPr>
        <w:t>intains various insurance policies including employee health, workers' compensation, automobile liability, and general liability insurance. These policies are fixed premium policies with various deductible amounts that are self-funded by CoreCivic. Reserve</w:t>
      </w:r>
      <w:r>
        <w:rPr>
          <w:sz w:val="20"/>
          <w:szCs w:val="20"/>
        </w:rPr>
        <w:t>s are provided for estimated incurred claims for which it is probable that a loss has been incurred and the range of such loss can be estimated</w:t>
      </w:r>
      <w:r>
        <w:rPr>
          <w:sz w:val="20"/>
          <w:szCs w:val="20"/>
        </w:rPr>
        <w:t>.</w:t>
      </w:r>
    </w:p>
    <w:p w:rsidR="00000000" w:rsidRDefault="006D723D">
      <w:pPr>
        <w:pStyle w:val="a3"/>
        <w:spacing w:before="360" w:beforeAutospacing="0" w:after="0" w:afterAutospacing="0"/>
        <w:ind w:left="476"/>
        <w:jc w:val="both"/>
        <w:divId w:val="1039626565"/>
        <w:rPr>
          <w:sz w:val="20"/>
          <w:szCs w:val="20"/>
        </w:rPr>
      </w:pPr>
      <w:r>
        <w:rPr>
          <w:b/>
          <w:bCs/>
          <w:sz w:val="20"/>
          <w:szCs w:val="20"/>
        </w:rPr>
        <w:t>Retirement Pla</w:t>
      </w:r>
      <w:r>
        <w:rPr>
          <w:b/>
          <w:bCs/>
          <w:sz w:val="20"/>
          <w:szCs w:val="20"/>
        </w:rPr>
        <w:t>n</w:t>
      </w:r>
    </w:p>
    <w:p w:rsidR="00000000" w:rsidRDefault="006D723D">
      <w:pPr>
        <w:pStyle w:val="a3"/>
        <w:spacing w:before="120" w:beforeAutospacing="0" w:after="0" w:afterAutospacing="0"/>
        <w:ind w:left="476"/>
        <w:jc w:val="both"/>
        <w:divId w:val="1039626565"/>
        <w:rPr>
          <w:sz w:val="20"/>
          <w:szCs w:val="20"/>
        </w:rPr>
      </w:pPr>
      <w:r>
        <w:rPr>
          <w:sz w:val="20"/>
          <w:szCs w:val="20"/>
        </w:rPr>
        <w:t>All employees of CoreCivic are eligible to participate in the CoreCivic 401(k) Savings and Retirement Plan (the "Plan") upon reaching age 18 and completing</w:t>
      </w:r>
      <w:r>
        <w:rPr>
          <w:sz w:val="20"/>
          <w:szCs w:val="20"/>
        </w:rPr>
        <w:t xml:space="preserve"> </w:t>
      </w:r>
      <w:r>
        <w:rPr>
          <w:sz w:val="20"/>
          <w:szCs w:val="20"/>
        </w:rPr>
        <w:t>six months</w:t>
      </w:r>
      <w:r>
        <w:rPr>
          <w:sz w:val="20"/>
          <w:szCs w:val="20"/>
        </w:rPr>
        <w:t xml:space="preserve"> </w:t>
      </w:r>
      <w:r>
        <w:rPr>
          <w:sz w:val="20"/>
          <w:szCs w:val="20"/>
        </w:rPr>
        <w:t>of qualified service. Eligible employees may contribute up to</w:t>
      </w:r>
      <w:r>
        <w:rPr>
          <w:sz w:val="20"/>
          <w:szCs w:val="20"/>
        </w:rPr>
        <w:t xml:space="preserve"> </w:t>
      </w:r>
      <w:r>
        <w:rPr>
          <w:sz w:val="20"/>
          <w:szCs w:val="20"/>
        </w:rPr>
        <w:t>9</w:t>
      </w:r>
      <w:r>
        <w:rPr>
          <w:sz w:val="20"/>
          <w:szCs w:val="20"/>
        </w:rPr>
        <w:t>0</w:t>
      </w:r>
      <w:r>
        <w:rPr>
          <w:sz w:val="20"/>
          <w:szCs w:val="20"/>
        </w:rPr>
        <w:t>% of their eligible compe</w:t>
      </w:r>
      <w:r>
        <w:rPr>
          <w:sz w:val="20"/>
          <w:szCs w:val="20"/>
        </w:rPr>
        <w:t>nsation, subject to IRS limitations. For the years ended December 31, 2022, 2021, and 2020, CoreCivic provided a discretionary matching contribution equal to</w:t>
      </w:r>
      <w:r>
        <w:rPr>
          <w:sz w:val="20"/>
          <w:szCs w:val="20"/>
        </w:rPr>
        <w:t xml:space="preserve"> </w:t>
      </w:r>
      <w:r>
        <w:rPr>
          <w:sz w:val="20"/>
          <w:szCs w:val="20"/>
        </w:rPr>
        <w:t>10</w:t>
      </w:r>
      <w:r>
        <w:rPr>
          <w:sz w:val="20"/>
          <w:szCs w:val="20"/>
        </w:rPr>
        <w:t>0</w:t>
      </w:r>
      <w:r>
        <w:rPr>
          <w:sz w:val="20"/>
          <w:szCs w:val="20"/>
        </w:rPr>
        <w:t>% of the employee's contributions up to</w:t>
      </w:r>
      <w:r>
        <w:rPr>
          <w:sz w:val="20"/>
          <w:szCs w:val="20"/>
        </w:rPr>
        <w:t xml:space="preserve"> </w:t>
      </w:r>
      <w:r>
        <w:rPr>
          <w:sz w:val="20"/>
          <w:szCs w:val="20"/>
        </w:rPr>
        <w:t>5</w:t>
      </w:r>
      <w:r>
        <w:rPr>
          <w:sz w:val="20"/>
          <w:szCs w:val="20"/>
        </w:rPr>
        <w:t>% of the employee's eligible compensation to employees</w:t>
      </w:r>
      <w:r>
        <w:rPr>
          <w:sz w:val="20"/>
          <w:szCs w:val="20"/>
        </w:rPr>
        <w:t xml:space="preserve"> with at least</w:t>
      </w:r>
      <w:r>
        <w:rPr>
          <w:sz w:val="20"/>
          <w:szCs w:val="20"/>
        </w:rPr>
        <w:t xml:space="preserve"> </w:t>
      </w:r>
      <w:r>
        <w:rPr>
          <w:sz w:val="20"/>
          <w:szCs w:val="20"/>
        </w:rPr>
        <w:t>50</w:t>
      </w:r>
      <w:r>
        <w:rPr>
          <w:sz w:val="20"/>
          <w:szCs w:val="20"/>
        </w:rPr>
        <w:t>0</w:t>
      </w:r>
      <w:r>
        <w:rPr>
          <w:sz w:val="20"/>
          <w:szCs w:val="20"/>
        </w:rPr>
        <w:t xml:space="preserve"> hours of employment in the plan year.</w:t>
      </w:r>
      <w:r>
        <w:rPr>
          <w:sz w:val="20"/>
          <w:szCs w:val="20"/>
        </w:rPr>
        <w:t xml:space="preserve"> </w:t>
      </w:r>
      <w:r>
        <w:rPr>
          <w:sz w:val="20"/>
          <w:szCs w:val="20"/>
        </w:rPr>
        <w:t>Employer matching contributions paid into the Plan each pay period vest immediately pursuant to safe harbor provisions adopted by the Plan. During 2022, 2021, and 2020, CoreCivic's discretionary cont</w:t>
      </w:r>
      <w:r>
        <w:rPr>
          <w:sz w:val="20"/>
          <w:szCs w:val="20"/>
        </w:rPr>
        <w:t xml:space="preserve">ributions to the Plan were </w:t>
      </w:r>
      <w:r>
        <w:rPr>
          <w:sz w:val="20"/>
          <w:szCs w:val="20"/>
        </w:rPr>
        <w:t>$</w:t>
      </w:r>
      <w:r>
        <w:rPr>
          <w:sz w:val="20"/>
          <w:szCs w:val="20"/>
        </w:rPr>
        <w:t>15.</w:t>
      </w:r>
      <w:r>
        <w:rPr>
          <w:sz w:val="20"/>
          <w:szCs w:val="20"/>
        </w:rPr>
        <w:t>3</w:t>
      </w:r>
      <w:r>
        <w:rPr>
          <w:sz w:val="20"/>
          <w:szCs w:val="20"/>
        </w:rPr>
        <w:t xml:space="preserve"> million, </w:t>
      </w:r>
      <w:r>
        <w:rPr>
          <w:sz w:val="20"/>
          <w:szCs w:val="20"/>
        </w:rPr>
        <w:t>$</w:t>
      </w:r>
      <w:r>
        <w:rPr>
          <w:sz w:val="20"/>
          <w:szCs w:val="20"/>
        </w:rPr>
        <w:t>15.</w:t>
      </w:r>
      <w:r>
        <w:rPr>
          <w:sz w:val="20"/>
          <w:szCs w:val="20"/>
        </w:rPr>
        <w:t>2</w:t>
      </w:r>
      <w:r>
        <w:rPr>
          <w:sz w:val="20"/>
          <w:szCs w:val="20"/>
        </w:rPr>
        <w:t xml:space="preserve"> million, and </w:t>
      </w:r>
      <w:r>
        <w:rPr>
          <w:sz w:val="20"/>
          <w:szCs w:val="20"/>
        </w:rPr>
        <w:t>$</w:t>
      </w:r>
      <w:r>
        <w:rPr>
          <w:sz w:val="20"/>
          <w:szCs w:val="20"/>
        </w:rPr>
        <w:t>15.</w:t>
      </w:r>
      <w:r>
        <w:rPr>
          <w:sz w:val="20"/>
          <w:szCs w:val="20"/>
        </w:rPr>
        <w:t>0</w:t>
      </w:r>
      <w:r>
        <w:rPr>
          <w:sz w:val="20"/>
          <w:szCs w:val="20"/>
        </w:rPr>
        <w:t xml:space="preserve"> million, respectively</w:t>
      </w:r>
      <w:r>
        <w:rPr>
          <w:sz w:val="20"/>
          <w:szCs w:val="20"/>
        </w:rPr>
        <w:t>.</w:t>
      </w:r>
      <w:r>
        <w:rPr>
          <w:sz w:val="20"/>
          <w:szCs w:val="20"/>
        </w:rPr>
        <w:t xml:space="preserve"> </w:t>
      </w:r>
    </w:p>
    <w:p w:rsidR="00000000" w:rsidRDefault="006D723D">
      <w:pPr>
        <w:pStyle w:val="a3"/>
        <w:spacing w:before="0" w:beforeAutospacing="0" w:after="0" w:afterAutospacing="0"/>
        <w:jc w:val="center"/>
        <w:divId w:val="1039626565"/>
        <w:rPr>
          <w:sz w:val="20"/>
          <w:szCs w:val="20"/>
        </w:rPr>
      </w:pPr>
      <w:r>
        <w:rPr>
          <w:sz w:val="20"/>
          <w:szCs w:val="20"/>
        </w:rPr>
        <w:t>F</w:t>
      </w:r>
      <w:r>
        <w:rPr>
          <w:sz w:val="20"/>
          <w:szCs w:val="20"/>
        </w:rPr>
        <w:t>-</w:t>
      </w:r>
      <w:r>
        <w:rPr>
          <w:sz w:val="20"/>
          <w:szCs w:val="20"/>
        </w:rPr>
        <w:t>3</w:t>
      </w:r>
      <w:r>
        <w:rPr>
          <w:sz w:val="20"/>
          <w:szCs w:val="20"/>
        </w:rPr>
        <w:t>7</w:t>
      </w:r>
    </w:p>
    <w:p w:rsidR="00000000" w:rsidRDefault="006D723D">
      <w:pPr>
        <w:divId w:val="1039626565"/>
        <w:rPr>
          <w:rFonts w:eastAsia="Times New Roman"/>
        </w:rPr>
      </w:pPr>
      <w:r>
        <w:rPr>
          <w:rFonts w:eastAsia="Times New Roman"/>
        </w:rPr>
        <w:pict>
          <v:rect id="_x0000_i1165" style="width:0;height:1.5pt" o:hralign="center" o:hrstd="t" o:hr="t" fillcolor="#a0a0a0" stroked="f"/>
        </w:pict>
      </w:r>
    </w:p>
    <w:p w:rsidR="00000000" w:rsidRDefault="006D723D">
      <w:pPr>
        <w:pStyle w:val="a3"/>
        <w:spacing w:before="0" w:beforeAutospacing="0" w:after="0" w:afterAutospacing="0"/>
        <w:divId w:val="1039626565"/>
        <w:rPr>
          <w:sz w:val="20"/>
          <w:szCs w:val="20"/>
        </w:rPr>
      </w:pPr>
      <w:r>
        <w:rPr>
          <w:sz w:val="20"/>
          <w:szCs w:val="20"/>
        </w:rPr>
        <w:t> </w:t>
      </w:r>
    </w:p>
    <w:p w:rsidR="00000000" w:rsidRDefault="006D723D">
      <w:pPr>
        <w:pStyle w:val="a3"/>
        <w:spacing w:before="360" w:beforeAutospacing="0" w:after="0" w:afterAutospacing="0"/>
        <w:ind w:left="476"/>
        <w:jc w:val="both"/>
        <w:divId w:val="1039626565"/>
        <w:rPr>
          <w:sz w:val="20"/>
          <w:szCs w:val="20"/>
        </w:rPr>
      </w:pPr>
      <w:r>
        <w:rPr>
          <w:b/>
          <w:bCs/>
          <w:sz w:val="20"/>
          <w:szCs w:val="20"/>
        </w:rPr>
        <w:t>Deferred Compensation Plan</w:t>
      </w:r>
      <w:r>
        <w:rPr>
          <w:b/>
          <w:bCs/>
          <w:sz w:val="20"/>
          <w:szCs w:val="20"/>
        </w:rPr>
        <w:t>s</w:t>
      </w:r>
    </w:p>
    <w:p w:rsidR="00000000" w:rsidRDefault="006D723D">
      <w:pPr>
        <w:pStyle w:val="a3"/>
        <w:spacing w:before="120" w:beforeAutospacing="0" w:after="0" w:afterAutospacing="0"/>
        <w:ind w:left="476"/>
        <w:jc w:val="both"/>
        <w:divId w:val="1039626565"/>
        <w:rPr>
          <w:sz w:val="20"/>
          <w:szCs w:val="20"/>
        </w:rPr>
      </w:pPr>
      <w:r>
        <w:rPr>
          <w:sz w:val="20"/>
          <w:szCs w:val="20"/>
        </w:rPr>
        <w:t>CoreCivic provides</w:t>
      </w:r>
      <w:r>
        <w:rPr>
          <w:sz w:val="20"/>
          <w:szCs w:val="20"/>
        </w:rPr>
        <w:t xml:space="preserve"> </w:t>
      </w:r>
      <w:r>
        <w:rPr>
          <w:sz w:val="20"/>
          <w:szCs w:val="20"/>
        </w:rPr>
        <w:t>tw</w:t>
      </w:r>
      <w:r>
        <w:rPr>
          <w:sz w:val="20"/>
          <w:szCs w:val="20"/>
        </w:rPr>
        <w:t>o</w:t>
      </w:r>
      <w:r>
        <w:rPr>
          <w:sz w:val="20"/>
          <w:szCs w:val="20"/>
        </w:rPr>
        <w:t xml:space="preserve"> non-qualified deferred compensation plans (the "Deferred Compensation P</w:t>
      </w:r>
      <w:r>
        <w:rPr>
          <w:sz w:val="20"/>
          <w:szCs w:val="20"/>
        </w:rPr>
        <w:t>lans") for non-employee directors and for certain senior executives. The Deferred Compensation Plans are unfunded plans maintained for the purpose of providing CoreCivic's directors and certain of its senior executives the opportunity to defer a portion of</w:t>
      </w:r>
      <w:r>
        <w:rPr>
          <w:sz w:val="20"/>
          <w:szCs w:val="20"/>
        </w:rPr>
        <w:t xml:space="preserve"> their compensation. Under the terms of the Deferred Compensation Plans, certain senior executives may elect to contribute on a pre-tax basis up to</w:t>
      </w:r>
      <w:r>
        <w:rPr>
          <w:sz w:val="20"/>
          <w:szCs w:val="20"/>
        </w:rPr>
        <w:t xml:space="preserve"> </w:t>
      </w:r>
      <w:r>
        <w:rPr>
          <w:sz w:val="20"/>
          <w:szCs w:val="20"/>
        </w:rPr>
        <w:t>5</w:t>
      </w:r>
      <w:r>
        <w:rPr>
          <w:sz w:val="20"/>
          <w:szCs w:val="20"/>
        </w:rPr>
        <w:t>0</w:t>
      </w:r>
      <w:r>
        <w:rPr>
          <w:sz w:val="20"/>
          <w:szCs w:val="20"/>
        </w:rPr>
        <w:t>% of their base salary and up to</w:t>
      </w:r>
      <w:r>
        <w:rPr>
          <w:sz w:val="20"/>
          <w:szCs w:val="20"/>
        </w:rPr>
        <w:t xml:space="preserve"> </w:t>
      </w:r>
      <w:r>
        <w:rPr>
          <w:sz w:val="20"/>
          <w:szCs w:val="20"/>
        </w:rPr>
        <w:t>10</w:t>
      </w:r>
      <w:r>
        <w:rPr>
          <w:sz w:val="20"/>
          <w:szCs w:val="20"/>
        </w:rPr>
        <w:t>0</w:t>
      </w:r>
      <w:r>
        <w:rPr>
          <w:sz w:val="20"/>
          <w:szCs w:val="20"/>
        </w:rPr>
        <w:t>% of their cash bonus, and non-employee directors may elect to contrib</w:t>
      </w:r>
      <w:r>
        <w:rPr>
          <w:sz w:val="20"/>
          <w:szCs w:val="20"/>
        </w:rPr>
        <w:t>ute on a pre-tax basis up to</w:t>
      </w:r>
      <w:r>
        <w:rPr>
          <w:sz w:val="20"/>
          <w:szCs w:val="20"/>
        </w:rPr>
        <w:t xml:space="preserve"> </w:t>
      </w:r>
      <w:r>
        <w:rPr>
          <w:sz w:val="20"/>
          <w:szCs w:val="20"/>
        </w:rPr>
        <w:t>10</w:t>
      </w:r>
      <w:r>
        <w:rPr>
          <w:sz w:val="20"/>
          <w:szCs w:val="20"/>
        </w:rPr>
        <w:t>0</w:t>
      </w:r>
      <w:r>
        <w:rPr>
          <w:sz w:val="20"/>
          <w:szCs w:val="20"/>
        </w:rPr>
        <w:t>% of their director retainer and meeting fees. During the years ended December 31, 2022, 2021, and 2020, CoreCivic matched</w:t>
      </w:r>
      <w:r>
        <w:rPr>
          <w:sz w:val="20"/>
          <w:szCs w:val="20"/>
        </w:rPr>
        <w:t xml:space="preserve"> </w:t>
      </w:r>
      <w:r>
        <w:rPr>
          <w:sz w:val="20"/>
          <w:szCs w:val="20"/>
        </w:rPr>
        <w:t>10</w:t>
      </w:r>
      <w:r>
        <w:rPr>
          <w:sz w:val="20"/>
          <w:szCs w:val="20"/>
        </w:rPr>
        <w:t>0</w:t>
      </w:r>
      <w:r>
        <w:rPr>
          <w:sz w:val="20"/>
          <w:szCs w:val="20"/>
        </w:rPr>
        <w:t>% of employee contributions up to</w:t>
      </w:r>
      <w:r>
        <w:rPr>
          <w:sz w:val="20"/>
          <w:szCs w:val="20"/>
        </w:rPr>
        <w:t xml:space="preserve"> </w:t>
      </w:r>
      <w:r>
        <w:rPr>
          <w:sz w:val="20"/>
          <w:szCs w:val="20"/>
        </w:rPr>
        <w:t>5</w:t>
      </w:r>
      <w:r>
        <w:rPr>
          <w:sz w:val="20"/>
          <w:szCs w:val="20"/>
        </w:rPr>
        <w:t>% of total cash compensation. CoreCivic also contributes a fixe</w:t>
      </w:r>
      <w:r>
        <w:rPr>
          <w:sz w:val="20"/>
          <w:szCs w:val="20"/>
        </w:rPr>
        <w:t>d rate of return on balances in the Deferred Compensation Plans, determined at the beginning of each plan year. Matching contributions and investment earnings thereon become vested</w:t>
      </w:r>
      <w:r>
        <w:rPr>
          <w:sz w:val="20"/>
          <w:szCs w:val="20"/>
        </w:rPr>
        <w:t xml:space="preserve"> </w:t>
      </w:r>
      <w:r>
        <w:rPr>
          <w:sz w:val="20"/>
          <w:szCs w:val="20"/>
        </w:rPr>
        <w:t>2</w:t>
      </w:r>
      <w:r>
        <w:rPr>
          <w:sz w:val="20"/>
          <w:szCs w:val="20"/>
        </w:rPr>
        <w:t>0</w:t>
      </w:r>
      <w:r>
        <w:rPr>
          <w:sz w:val="20"/>
          <w:szCs w:val="20"/>
        </w:rPr>
        <w:t>% after two years of service,</w:t>
      </w:r>
      <w:r>
        <w:rPr>
          <w:sz w:val="20"/>
          <w:szCs w:val="20"/>
        </w:rPr>
        <w:t xml:space="preserve"> </w:t>
      </w:r>
      <w:r>
        <w:rPr>
          <w:sz w:val="20"/>
          <w:szCs w:val="20"/>
        </w:rPr>
        <w:t>4</w:t>
      </w:r>
      <w:r>
        <w:rPr>
          <w:sz w:val="20"/>
          <w:szCs w:val="20"/>
        </w:rPr>
        <w:t>0</w:t>
      </w:r>
      <w:r>
        <w:rPr>
          <w:sz w:val="20"/>
          <w:szCs w:val="20"/>
        </w:rPr>
        <w:t>% after three years of service,</w:t>
      </w:r>
      <w:r>
        <w:rPr>
          <w:sz w:val="20"/>
          <w:szCs w:val="20"/>
        </w:rPr>
        <w:t xml:space="preserve"> </w:t>
      </w:r>
      <w:r>
        <w:rPr>
          <w:sz w:val="20"/>
          <w:szCs w:val="20"/>
        </w:rPr>
        <w:t>8</w:t>
      </w:r>
      <w:r>
        <w:rPr>
          <w:sz w:val="20"/>
          <w:szCs w:val="20"/>
        </w:rPr>
        <w:t>0</w:t>
      </w:r>
      <w:r>
        <w:rPr>
          <w:sz w:val="20"/>
          <w:szCs w:val="20"/>
        </w:rPr>
        <w:t>% after</w:t>
      </w:r>
      <w:r>
        <w:rPr>
          <w:sz w:val="20"/>
          <w:szCs w:val="20"/>
        </w:rPr>
        <w:t xml:space="preserve"> four years of service, and</w:t>
      </w:r>
      <w:r>
        <w:rPr>
          <w:sz w:val="20"/>
          <w:szCs w:val="20"/>
        </w:rPr>
        <w:t xml:space="preserve"> </w:t>
      </w:r>
      <w:r>
        <w:rPr>
          <w:sz w:val="20"/>
          <w:szCs w:val="20"/>
        </w:rPr>
        <w:t>10</w:t>
      </w:r>
      <w:r>
        <w:rPr>
          <w:sz w:val="20"/>
          <w:szCs w:val="20"/>
        </w:rPr>
        <w:t>0</w:t>
      </w:r>
      <w:r>
        <w:rPr>
          <w:sz w:val="20"/>
          <w:szCs w:val="20"/>
        </w:rPr>
        <w:t>% after five or more years of service. Distributions are generally payable no earlier than</w:t>
      </w:r>
      <w:r>
        <w:rPr>
          <w:sz w:val="20"/>
          <w:szCs w:val="20"/>
        </w:rPr>
        <w:t xml:space="preserve"> </w:t>
      </w:r>
      <w:r>
        <w:rPr>
          <w:sz w:val="20"/>
          <w:szCs w:val="20"/>
        </w:rPr>
        <w:t>five year</w:t>
      </w:r>
      <w:r>
        <w:rPr>
          <w:sz w:val="20"/>
          <w:szCs w:val="20"/>
        </w:rPr>
        <w:t>s</w:t>
      </w:r>
      <w:r>
        <w:rPr>
          <w:sz w:val="20"/>
          <w:szCs w:val="20"/>
        </w:rPr>
        <w:t xml:space="preserve"> subsequent to the date an individual becomes a participant in the Plan, or upon termination of employment (or the date a di</w:t>
      </w:r>
      <w:r>
        <w:rPr>
          <w:sz w:val="20"/>
          <w:szCs w:val="20"/>
        </w:rPr>
        <w:t>rector ceases to serve as a director of CoreCivic), at the election of the participant. Distributions to senior executives must commence on or before the later of</w:t>
      </w:r>
      <w:r>
        <w:rPr>
          <w:sz w:val="20"/>
          <w:szCs w:val="20"/>
        </w:rPr>
        <w:t xml:space="preserve"> </w:t>
      </w:r>
      <w:r>
        <w:rPr>
          <w:sz w:val="20"/>
          <w:szCs w:val="20"/>
        </w:rPr>
        <w:t>6</w:t>
      </w:r>
      <w:r>
        <w:rPr>
          <w:sz w:val="20"/>
          <w:szCs w:val="20"/>
        </w:rPr>
        <w:t>0</w:t>
      </w:r>
      <w:r>
        <w:rPr>
          <w:sz w:val="20"/>
          <w:szCs w:val="20"/>
        </w:rPr>
        <w:t xml:space="preserve"> days after the participant's separation from service or the fifteenth day of the month fol</w:t>
      </w:r>
      <w:r>
        <w:rPr>
          <w:sz w:val="20"/>
          <w:szCs w:val="20"/>
        </w:rPr>
        <w:t>lowing the month the individual attains age 65</w:t>
      </w:r>
      <w:r>
        <w:rPr>
          <w:sz w:val="20"/>
          <w:szCs w:val="20"/>
        </w:rPr>
        <w:t>.</w:t>
      </w:r>
    </w:p>
    <w:p w:rsidR="00000000" w:rsidRDefault="006D723D">
      <w:pPr>
        <w:pStyle w:val="a3"/>
        <w:spacing w:before="240" w:beforeAutospacing="0" w:after="0" w:afterAutospacing="0"/>
        <w:ind w:left="476"/>
        <w:jc w:val="both"/>
        <w:divId w:val="1039626565"/>
        <w:rPr>
          <w:sz w:val="20"/>
          <w:szCs w:val="20"/>
        </w:rPr>
      </w:pPr>
      <w:r>
        <w:rPr>
          <w:sz w:val="20"/>
          <w:szCs w:val="20"/>
        </w:rPr>
        <w:t>During 2022, 2021, and 2020, CoreCivic provided a fixed return of</w:t>
      </w:r>
      <w:r>
        <w:rPr>
          <w:sz w:val="20"/>
          <w:szCs w:val="20"/>
        </w:rPr>
        <w:t xml:space="preserve"> </w:t>
      </w:r>
      <w:r>
        <w:rPr>
          <w:sz w:val="20"/>
          <w:szCs w:val="20"/>
        </w:rPr>
        <w:t>5.</w:t>
      </w:r>
      <w:r>
        <w:rPr>
          <w:sz w:val="20"/>
          <w:szCs w:val="20"/>
        </w:rPr>
        <w:t>0</w:t>
      </w:r>
      <w:r>
        <w:rPr>
          <w:sz w:val="20"/>
          <w:szCs w:val="20"/>
        </w:rPr>
        <w:t xml:space="preserve">% in each year to participants in the Deferred Compensation Plans. CoreCivic has purchased life insurance policies on the lives of certain </w:t>
      </w:r>
      <w:r>
        <w:rPr>
          <w:sz w:val="20"/>
          <w:szCs w:val="20"/>
        </w:rPr>
        <w:t>employees of CoreCivic, which are intended to fund distributions from the Deferred Compensation Plans. CoreCivic is the sole beneficiary of such policies. At the inception of the Deferred Compensation Plans, CoreCivic established an irrevocable Rabbi Trust</w:t>
      </w:r>
      <w:r>
        <w:rPr>
          <w:sz w:val="20"/>
          <w:szCs w:val="20"/>
        </w:rPr>
        <w:t xml:space="preserve"> to secure the plans' obligations. However, assets in the Deferred Compensation Plans are subject to creditor claims in the event of bankruptcy. During 2022, 2021, and 2020, CoreCivic recorded </w:t>
      </w:r>
      <w:r>
        <w:rPr>
          <w:sz w:val="20"/>
          <w:szCs w:val="20"/>
        </w:rPr>
        <w:t>$</w:t>
      </w:r>
      <w:r>
        <w:rPr>
          <w:sz w:val="20"/>
          <w:szCs w:val="20"/>
        </w:rPr>
        <w:t>0.</w:t>
      </w:r>
      <w:r>
        <w:rPr>
          <w:sz w:val="20"/>
          <w:szCs w:val="20"/>
        </w:rPr>
        <w:t>3</w:t>
      </w:r>
      <w:r>
        <w:rPr>
          <w:sz w:val="20"/>
          <w:szCs w:val="20"/>
        </w:rPr>
        <w:t xml:space="preserve"> million, </w:t>
      </w:r>
      <w:r>
        <w:rPr>
          <w:sz w:val="20"/>
          <w:szCs w:val="20"/>
        </w:rPr>
        <w:t>$</w:t>
      </w:r>
      <w:r>
        <w:rPr>
          <w:sz w:val="20"/>
          <w:szCs w:val="20"/>
        </w:rPr>
        <w:t>0.</w:t>
      </w:r>
      <w:r>
        <w:rPr>
          <w:sz w:val="20"/>
          <w:szCs w:val="20"/>
        </w:rPr>
        <w:t>2</w:t>
      </w:r>
      <w:r>
        <w:rPr>
          <w:sz w:val="20"/>
          <w:szCs w:val="20"/>
        </w:rPr>
        <w:t xml:space="preserve"> million, and </w:t>
      </w:r>
      <w:r>
        <w:rPr>
          <w:sz w:val="20"/>
          <w:szCs w:val="20"/>
        </w:rPr>
        <w:t>$</w:t>
      </w:r>
      <w:r>
        <w:rPr>
          <w:sz w:val="20"/>
          <w:szCs w:val="20"/>
        </w:rPr>
        <w:t>0.</w:t>
      </w:r>
      <w:r>
        <w:rPr>
          <w:sz w:val="20"/>
          <w:szCs w:val="20"/>
        </w:rPr>
        <w:t>3</w:t>
      </w:r>
      <w:r>
        <w:rPr>
          <w:sz w:val="20"/>
          <w:szCs w:val="20"/>
        </w:rPr>
        <w:t xml:space="preserve"> million, respectively, of </w:t>
      </w:r>
      <w:r>
        <w:rPr>
          <w:sz w:val="20"/>
          <w:szCs w:val="20"/>
        </w:rPr>
        <w:t xml:space="preserve">matching contributions as general and administrative expense associated with the Deferred Compensation Plans. Assets in the Rabbi Trust were </w:t>
      </w:r>
      <w:r>
        <w:rPr>
          <w:sz w:val="20"/>
          <w:szCs w:val="20"/>
        </w:rPr>
        <w:t>$</w:t>
      </w:r>
      <w:r>
        <w:rPr>
          <w:sz w:val="20"/>
          <w:szCs w:val="20"/>
        </w:rPr>
        <w:t>16.</w:t>
      </w:r>
      <w:r>
        <w:rPr>
          <w:sz w:val="20"/>
          <w:szCs w:val="20"/>
        </w:rPr>
        <w:t>0</w:t>
      </w:r>
      <w:r>
        <w:rPr>
          <w:sz w:val="20"/>
          <w:szCs w:val="20"/>
        </w:rPr>
        <w:t xml:space="preserve"> million and </w:t>
      </w:r>
      <w:r>
        <w:rPr>
          <w:sz w:val="20"/>
          <w:szCs w:val="20"/>
        </w:rPr>
        <w:t>$</w:t>
      </w:r>
      <w:r>
        <w:rPr>
          <w:sz w:val="20"/>
          <w:szCs w:val="20"/>
        </w:rPr>
        <w:t>15.</w:t>
      </w:r>
      <w:r>
        <w:rPr>
          <w:sz w:val="20"/>
          <w:szCs w:val="20"/>
        </w:rPr>
        <w:t>5</w:t>
      </w:r>
      <w:r>
        <w:rPr>
          <w:sz w:val="20"/>
          <w:szCs w:val="20"/>
        </w:rPr>
        <w:t xml:space="preserve"> million as of December 31, 2022 and 2021, respectively, and were reflected in other assets </w:t>
      </w:r>
      <w:r>
        <w:rPr>
          <w:sz w:val="20"/>
          <w:szCs w:val="20"/>
        </w:rPr>
        <w:t xml:space="preserve">on the accompanying consolidated balance sheets. As of December 31, 2022 and 2021, CoreCivic's liability related to the Deferred Compensation Plans was </w:t>
      </w:r>
      <w:r>
        <w:rPr>
          <w:sz w:val="20"/>
          <w:szCs w:val="20"/>
        </w:rPr>
        <w:t>$</w:t>
      </w:r>
      <w:r>
        <w:rPr>
          <w:sz w:val="20"/>
          <w:szCs w:val="20"/>
        </w:rPr>
        <w:t>13.</w:t>
      </w:r>
      <w:r>
        <w:rPr>
          <w:sz w:val="20"/>
          <w:szCs w:val="20"/>
        </w:rPr>
        <w:t>8</w:t>
      </w:r>
      <w:r>
        <w:rPr>
          <w:sz w:val="20"/>
          <w:szCs w:val="20"/>
        </w:rPr>
        <w:t xml:space="preserve"> million and </w:t>
      </w:r>
      <w:r>
        <w:rPr>
          <w:sz w:val="20"/>
          <w:szCs w:val="20"/>
        </w:rPr>
        <w:t>$</w:t>
      </w:r>
      <w:r>
        <w:rPr>
          <w:sz w:val="20"/>
          <w:szCs w:val="20"/>
        </w:rPr>
        <w:t>12.</w:t>
      </w:r>
      <w:r>
        <w:rPr>
          <w:sz w:val="20"/>
          <w:szCs w:val="20"/>
        </w:rPr>
        <w:t>5</w:t>
      </w:r>
      <w:r>
        <w:rPr>
          <w:sz w:val="20"/>
          <w:szCs w:val="20"/>
        </w:rPr>
        <w:t xml:space="preserve"> million, respectively, which was reflected in accounts payable and accrued expen</w:t>
      </w:r>
      <w:r>
        <w:rPr>
          <w:sz w:val="20"/>
          <w:szCs w:val="20"/>
        </w:rPr>
        <w:t>ses and other liabilities on the accompanying consolidated balance sheets</w:t>
      </w:r>
      <w:r>
        <w:rPr>
          <w:sz w:val="20"/>
          <w:szCs w:val="20"/>
        </w:rPr>
        <w:t>.</w:t>
      </w:r>
    </w:p>
    <w:p w:rsidR="00000000" w:rsidRDefault="006D723D">
      <w:pPr>
        <w:pStyle w:val="a3"/>
        <w:spacing w:before="360" w:beforeAutospacing="0" w:after="0" w:afterAutospacing="0"/>
        <w:ind w:left="476"/>
        <w:jc w:val="both"/>
        <w:divId w:val="1039626565"/>
        <w:rPr>
          <w:sz w:val="20"/>
          <w:szCs w:val="20"/>
        </w:rPr>
      </w:pPr>
      <w:r>
        <w:rPr>
          <w:b/>
          <w:bCs/>
          <w:sz w:val="20"/>
          <w:szCs w:val="20"/>
        </w:rPr>
        <w:t>Employment and Severance Agreement</w:t>
      </w:r>
      <w:r>
        <w:rPr>
          <w:b/>
          <w:bCs/>
          <w:sz w:val="20"/>
          <w:szCs w:val="20"/>
        </w:rPr>
        <w:t>s</w:t>
      </w:r>
    </w:p>
    <w:p w:rsidR="00000000" w:rsidRDefault="006D723D">
      <w:pPr>
        <w:pStyle w:val="a3"/>
        <w:spacing w:before="120" w:beforeAutospacing="0" w:after="0" w:afterAutospacing="0"/>
        <w:ind w:left="476"/>
        <w:jc w:val="both"/>
        <w:divId w:val="1039626565"/>
        <w:rPr>
          <w:sz w:val="20"/>
          <w:szCs w:val="20"/>
        </w:rPr>
      </w:pPr>
      <w:r>
        <w:rPr>
          <w:sz w:val="20"/>
          <w:szCs w:val="20"/>
        </w:rPr>
        <w:t xml:space="preserve">CoreCivic currently has employment agreements with several of its executive officers, which provide for the payment of certain severance amounts </w:t>
      </w:r>
      <w:r>
        <w:rPr>
          <w:sz w:val="20"/>
          <w:szCs w:val="20"/>
        </w:rPr>
        <w:t>upon termination of employment under certain circumstances or a change of control, as defined in the agreements</w:t>
      </w:r>
      <w:r>
        <w:rPr>
          <w:sz w:val="20"/>
          <w:szCs w:val="20"/>
        </w:rPr>
        <w:t>.</w:t>
      </w:r>
      <w:r>
        <w:rPr>
          <w:sz w:val="20"/>
          <w:szCs w:val="20"/>
        </w:rPr>
        <w:t xml:space="preserve"> </w:t>
      </w:r>
    </w:p>
    <w:p w:rsidR="00000000" w:rsidRDefault="006D723D">
      <w:pPr>
        <w:jc w:val="both"/>
        <w:divId w:val="1948387882"/>
        <w:rPr>
          <w:rFonts w:eastAsia="Times New Roman"/>
        </w:rPr>
      </w:pPr>
      <w:r>
        <w:rPr>
          <w:rFonts w:eastAsia="Times New Roman"/>
          <w:b/>
          <w:bCs/>
          <w:sz w:val="20"/>
          <w:szCs w:val="20"/>
        </w:rPr>
        <w:t>16</w:t>
      </w:r>
      <w:r>
        <w:rPr>
          <w:rFonts w:eastAsia="Times New Roman"/>
          <w:b/>
          <w:bCs/>
          <w:sz w:val="20"/>
          <w:szCs w:val="20"/>
        </w:rPr>
        <w:t>.</w:t>
      </w:r>
    </w:p>
    <w:p w:rsidR="00000000" w:rsidRDefault="006D723D">
      <w:pPr>
        <w:jc w:val="both"/>
        <w:divId w:val="220556135"/>
        <w:rPr>
          <w:rFonts w:eastAsia="Times New Roman"/>
        </w:rPr>
      </w:pPr>
      <w:r>
        <w:rPr>
          <w:rFonts w:eastAsia="Times New Roman"/>
          <w:b/>
          <w:bCs/>
          <w:sz w:val="20"/>
          <w:szCs w:val="20"/>
        </w:rPr>
        <w:t>SEGMENT REPORTIN</w:t>
      </w:r>
      <w:r>
        <w:rPr>
          <w:rFonts w:eastAsia="Times New Roman"/>
          <w:b/>
          <w:bCs/>
          <w:sz w:val="20"/>
          <w:szCs w:val="20"/>
        </w:rPr>
        <w:t>G</w:t>
      </w:r>
    </w:p>
    <w:p w:rsidR="00000000" w:rsidRDefault="006D723D">
      <w:pPr>
        <w:pStyle w:val="a3"/>
        <w:spacing w:before="120" w:beforeAutospacing="0" w:after="0" w:afterAutospacing="0"/>
        <w:ind w:left="476"/>
        <w:jc w:val="both"/>
        <w:divId w:val="1976568710"/>
        <w:rPr>
          <w:sz w:val="20"/>
          <w:szCs w:val="20"/>
        </w:rPr>
      </w:pPr>
      <w:r>
        <w:rPr>
          <w:sz w:val="20"/>
          <w:szCs w:val="20"/>
        </w:rPr>
        <w:t>As o</w:t>
      </w:r>
      <w:r>
        <w:rPr>
          <w:sz w:val="20"/>
          <w:szCs w:val="20"/>
        </w:rPr>
        <w:t>f</w:t>
      </w:r>
      <w:r>
        <w:t xml:space="preserve"> </w:t>
      </w:r>
      <w:r>
        <w:rPr>
          <w:sz w:val="20"/>
          <w:szCs w:val="20"/>
        </w:rPr>
        <w:t>December 31, 2022, CoreCivic operated</w:t>
      </w:r>
      <w:r>
        <w:rPr>
          <w:sz w:val="20"/>
          <w:szCs w:val="20"/>
        </w:rPr>
        <w:t xml:space="preserve"> </w:t>
      </w:r>
      <w:r>
        <w:rPr>
          <w:sz w:val="20"/>
          <w:szCs w:val="20"/>
        </w:rPr>
        <w:t>4</w:t>
      </w:r>
      <w:r>
        <w:rPr>
          <w:sz w:val="20"/>
          <w:szCs w:val="20"/>
        </w:rPr>
        <w:t>4</w:t>
      </w:r>
      <w:r>
        <w:rPr>
          <w:sz w:val="20"/>
          <w:szCs w:val="20"/>
        </w:rPr>
        <w:t xml:space="preserve"> correctional and detention facilities,</w:t>
      </w:r>
      <w:r>
        <w:rPr>
          <w:sz w:val="20"/>
          <w:szCs w:val="20"/>
        </w:rPr>
        <w:t xml:space="preserve"> </w:t>
      </w:r>
      <w:r>
        <w:rPr>
          <w:sz w:val="20"/>
          <w:szCs w:val="20"/>
        </w:rPr>
        <w:t>4</w:t>
      </w:r>
      <w:r>
        <w:rPr>
          <w:sz w:val="20"/>
          <w:szCs w:val="20"/>
        </w:rPr>
        <w:t>0</w:t>
      </w:r>
      <w:r>
        <w:rPr>
          <w:sz w:val="20"/>
          <w:szCs w:val="20"/>
        </w:rPr>
        <w:t xml:space="preserve"> of which the Company owned. In </w:t>
      </w:r>
      <w:r>
        <w:rPr>
          <w:sz w:val="20"/>
          <w:szCs w:val="20"/>
        </w:rPr>
        <w:t>addition, CoreCivic owned and operated</w:t>
      </w:r>
      <w:r>
        <w:rPr>
          <w:sz w:val="20"/>
          <w:szCs w:val="20"/>
        </w:rPr>
        <w:t xml:space="preserve"> </w:t>
      </w:r>
      <w:r>
        <w:rPr>
          <w:sz w:val="20"/>
          <w:szCs w:val="20"/>
        </w:rPr>
        <w:t>2</w:t>
      </w:r>
      <w:r>
        <w:rPr>
          <w:sz w:val="20"/>
          <w:szCs w:val="20"/>
        </w:rPr>
        <w:t>3</w:t>
      </w:r>
      <w:r>
        <w:rPr>
          <w:sz w:val="20"/>
          <w:szCs w:val="20"/>
        </w:rPr>
        <w:t xml:space="preserve"> residential reentry centers and owned</w:t>
      </w:r>
      <w:r>
        <w:rPr>
          <w:sz w:val="20"/>
          <w:szCs w:val="20"/>
        </w:rPr>
        <w:t xml:space="preserve"> </w:t>
      </w:r>
      <w:r>
        <w:rPr>
          <w:sz w:val="20"/>
          <w:szCs w:val="20"/>
        </w:rPr>
        <w:t>8</w:t>
      </w:r>
      <w:r>
        <w:rPr>
          <w:sz w:val="20"/>
          <w:szCs w:val="20"/>
        </w:rPr>
        <w:t xml:space="preserve"> properties leased to government agencies. Management views CoreCivic's operating results in</w:t>
      </w:r>
      <w:r>
        <w:rPr>
          <w:sz w:val="20"/>
          <w:szCs w:val="20"/>
        </w:rPr>
        <w:t xml:space="preserve"> </w:t>
      </w:r>
      <w:r>
        <w:rPr>
          <w:sz w:val="20"/>
          <w:szCs w:val="20"/>
        </w:rPr>
        <w:t>thre</w:t>
      </w:r>
      <w:r>
        <w:rPr>
          <w:sz w:val="20"/>
          <w:szCs w:val="20"/>
        </w:rPr>
        <w:t>e</w:t>
      </w:r>
      <w:r>
        <w:rPr>
          <w:sz w:val="20"/>
          <w:szCs w:val="20"/>
        </w:rPr>
        <w:t xml:space="preserve"> operating segments, CoreCivic Safety, CoreCivic Community, and CoreCivic Pro</w:t>
      </w:r>
      <w:r>
        <w:rPr>
          <w:sz w:val="20"/>
          <w:szCs w:val="20"/>
        </w:rPr>
        <w:t>perties. CoreCivic Safety includes the operating results of those correctional and detention facilities placed into service that were owned, or controlled via a long-term lease, and managed by CoreCivic, as well as those correctional and detention faciliti</w:t>
      </w:r>
      <w:r>
        <w:rPr>
          <w:sz w:val="20"/>
          <w:szCs w:val="20"/>
        </w:rPr>
        <w:t xml:space="preserve">es owned by a third party and managed by CoreCivic. CoreCivic Safety also includes the operating results of TransCor America, LLC, a subsidiary of the Company that provides transportation services to governmental agencies. CoreCivic Community includes the </w:t>
      </w:r>
      <w:r>
        <w:rPr>
          <w:sz w:val="20"/>
          <w:szCs w:val="20"/>
        </w:rPr>
        <w:t>operating results of those residential reentry centers placed into service that were owned, or controlled via a long-term lease, and managed by CoreCivic. CoreCivic Community also includes the operating results of the Company's electronic monitoring and ca</w:t>
      </w:r>
      <w:r>
        <w:rPr>
          <w:sz w:val="20"/>
          <w:szCs w:val="20"/>
        </w:rPr>
        <w:t>se management services. CoreCivic Properties includes the operating results of those properties leased to government agencies. The operating performance of the three segments can be measured based on their net operating income. CoreCivic defines facility n</w:t>
      </w:r>
      <w:r>
        <w:rPr>
          <w:sz w:val="20"/>
          <w:szCs w:val="20"/>
        </w:rPr>
        <w:t>et operating income as a facility's revenues less operating expenses</w:t>
      </w:r>
      <w:r>
        <w:rPr>
          <w:sz w:val="20"/>
          <w:szCs w:val="20"/>
        </w:rPr>
        <w:t>.</w:t>
      </w:r>
      <w:r>
        <w:rPr>
          <w:sz w:val="20"/>
          <w:szCs w:val="20"/>
        </w:rPr>
        <w:t xml:space="preserve"> </w:t>
      </w:r>
    </w:p>
    <w:p w:rsidR="00000000" w:rsidRDefault="006D723D">
      <w:pPr>
        <w:pStyle w:val="a3"/>
        <w:spacing w:before="0" w:beforeAutospacing="0" w:after="0" w:afterAutospacing="0"/>
        <w:divId w:val="1976568710"/>
        <w:rPr>
          <w:sz w:val="20"/>
          <w:szCs w:val="20"/>
        </w:rPr>
      </w:pPr>
      <w:r>
        <w:rPr>
          <w:sz w:val="20"/>
          <w:szCs w:val="20"/>
        </w:rPr>
        <w:t> </w:t>
      </w:r>
    </w:p>
    <w:p w:rsidR="00000000" w:rsidRDefault="006D723D">
      <w:pPr>
        <w:pStyle w:val="a3"/>
        <w:spacing w:before="0" w:beforeAutospacing="0" w:after="0" w:afterAutospacing="0"/>
        <w:jc w:val="center"/>
        <w:divId w:val="1976568710"/>
        <w:rPr>
          <w:sz w:val="20"/>
          <w:szCs w:val="20"/>
        </w:rPr>
      </w:pPr>
      <w:r>
        <w:rPr>
          <w:sz w:val="20"/>
          <w:szCs w:val="20"/>
        </w:rPr>
        <w:t>F</w:t>
      </w:r>
      <w:r>
        <w:rPr>
          <w:sz w:val="20"/>
          <w:szCs w:val="20"/>
        </w:rPr>
        <w:t>-</w:t>
      </w:r>
      <w:r>
        <w:rPr>
          <w:sz w:val="20"/>
          <w:szCs w:val="20"/>
        </w:rPr>
        <w:t>3</w:t>
      </w:r>
      <w:r>
        <w:rPr>
          <w:sz w:val="20"/>
          <w:szCs w:val="20"/>
        </w:rPr>
        <w:t>8</w:t>
      </w:r>
    </w:p>
    <w:p w:rsidR="00000000" w:rsidRDefault="006D723D">
      <w:pPr>
        <w:divId w:val="1976568710"/>
        <w:rPr>
          <w:rFonts w:eastAsia="Times New Roman"/>
        </w:rPr>
      </w:pPr>
      <w:r>
        <w:rPr>
          <w:rFonts w:eastAsia="Times New Roman"/>
        </w:rPr>
        <w:pict>
          <v:rect id="_x0000_i1166" style="width:0;height:1.5pt" o:hralign="center" o:hrstd="t" o:hr="t" fillcolor="#a0a0a0" stroked="f"/>
        </w:pict>
      </w:r>
    </w:p>
    <w:p w:rsidR="00000000" w:rsidRDefault="006D723D">
      <w:pPr>
        <w:pStyle w:val="a3"/>
        <w:spacing w:before="0" w:beforeAutospacing="0" w:after="0" w:afterAutospacing="0"/>
        <w:divId w:val="1976568710"/>
        <w:rPr>
          <w:sz w:val="20"/>
          <w:szCs w:val="20"/>
        </w:rPr>
      </w:pPr>
      <w:r>
        <w:rPr>
          <w:sz w:val="20"/>
          <w:szCs w:val="20"/>
        </w:rPr>
        <w:t> </w:t>
      </w:r>
    </w:p>
    <w:p w:rsidR="00000000" w:rsidRDefault="006D723D">
      <w:pPr>
        <w:pStyle w:val="a3"/>
        <w:spacing w:before="240" w:beforeAutospacing="0" w:after="0" w:afterAutospacing="0"/>
        <w:ind w:left="476"/>
        <w:jc w:val="both"/>
        <w:divId w:val="1512405453"/>
        <w:rPr>
          <w:sz w:val="20"/>
          <w:szCs w:val="20"/>
        </w:rPr>
      </w:pPr>
      <w:r>
        <w:rPr>
          <w:sz w:val="20"/>
          <w:szCs w:val="20"/>
        </w:rPr>
        <w:t>The revenue and net operating income for each of the three segments and a reconciliation to CoreCivic's income before income taxes is as follows for the three years ended</w:t>
      </w:r>
      <w:r>
        <w:rPr>
          <w:sz w:val="20"/>
          <w:szCs w:val="20"/>
        </w:rPr>
        <w:t xml:space="preserve"> </w:t>
      </w:r>
      <w:r>
        <w:rPr>
          <w:sz w:val="20"/>
          <w:szCs w:val="20"/>
        </w:rPr>
        <w:t>December 31, 2022, 2021, and 2020 (in thousands)</w:t>
      </w:r>
      <w:r>
        <w:rPr>
          <w:sz w:val="20"/>
          <w:szCs w:val="20"/>
        </w:rPr>
        <w:t>:</w:t>
      </w:r>
    </w:p>
    <w:p w:rsidR="00000000" w:rsidRDefault="006D723D">
      <w:pPr>
        <w:pStyle w:val="a3"/>
        <w:spacing w:before="0" w:beforeAutospacing="0" w:after="0" w:afterAutospacing="0"/>
        <w:jc w:val="both"/>
        <w:divId w:val="1512405453"/>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859"/>
        <w:gridCol w:w="110"/>
        <w:gridCol w:w="160"/>
        <w:gridCol w:w="860"/>
        <w:gridCol w:w="127"/>
        <w:gridCol w:w="110"/>
        <w:gridCol w:w="160"/>
        <w:gridCol w:w="860"/>
        <w:gridCol w:w="127"/>
        <w:gridCol w:w="110"/>
        <w:gridCol w:w="160"/>
        <w:gridCol w:w="860"/>
        <w:gridCol w:w="142"/>
      </w:tblGrid>
      <w:tr w:rsidR="00000000">
        <w:trPr>
          <w:divId w:val="1512405453"/>
          <w:tblCellSpacing w:w="15" w:type="dxa"/>
        </w:trPr>
        <w:tc>
          <w:tcPr>
            <w:tcW w:w="2799" w:type="pct"/>
            <w:vAlign w:val="center"/>
            <w:hideMark/>
          </w:tcPr>
          <w:p w:rsidR="00000000" w:rsidRDefault="006D723D">
            <w:pPr>
              <w:rPr>
                <w:sz w:val="20"/>
                <w:szCs w:val="20"/>
              </w:rPr>
            </w:pPr>
          </w:p>
        </w:tc>
        <w:tc>
          <w:tcPr>
            <w:tcW w:w="6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67"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67"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6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divId w:val="1512405453"/>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6D723D">
            <w:pPr>
              <w:pStyle w:val="a3"/>
              <w:spacing w:before="0" w:beforeAutospacing="0" w:after="0" w:afterAutospacing="0"/>
              <w:jc w:val="center"/>
              <w:rPr>
                <w:sz w:val="16"/>
                <w:szCs w:val="16"/>
              </w:rPr>
            </w:pPr>
            <w:r>
              <w:rPr>
                <w:sz w:val="16"/>
                <w:szCs w:val="16"/>
              </w:rPr>
              <w:t>For the Years Ended December 31</w:t>
            </w:r>
            <w:r>
              <w:rPr>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1512405453"/>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sz w:val="16"/>
                <w:szCs w:val="16"/>
              </w:rPr>
              <w:t>202</w:t>
            </w:r>
            <w:r>
              <w:rPr>
                <w:sz w:val="16"/>
                <w:szCs w:val="16"/>
              </w:rPr>
              <w:t>1</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sz w:val="16"/>
                <w:szCs w:val="16"/>
              </w:rPr>
              <w:t>202</w:t>
            </w:r>
            <w:r>
              <w:rPr>
                <w:sz w:val="16"/>
                <w:szCs w:val="16"/>
              </w:rPr>
              <w:t>0</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1512405453"/>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Revenue</w:t>
            </w: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divId w:val="1512405453"/>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Safet</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1,684,03</w:t>
            </w:r>
            <w:r>
              <w:rPr>
                <w:b/>
                <w:bCs/>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1,693,96</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1,706,23</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2405453"/>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Communit</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103,26</w:t>
            </w:r>
            <w:r>
              <w:rPr>
                <w:b/>
                <w:bCs/>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99,43</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105,99</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2405453"/>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Propertie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57,87</w:t>
            </w:r>
            <w:r>
              <w:rPr>
                <w:b/>
                <w:bCs/>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68,93</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93,09</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2405453"/>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Total segment revenu</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1,845,17</w:t>
            </w:r>
            <w:r>
              <w:rPr>
                <w:b/>
                <w:bCs/>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1,862,33</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1,905,32</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2405453"/>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divId w:val="1512405453"/>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Safet</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1,313,56</w:t>
            </w:r>
            <w:r>
              <w:rPr>
                <w:b/>
                <w:bCs/>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1,236,93</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1,288,93</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2405453"/>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Communit</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86,01</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81,61</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88,90</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2405453"/>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Propertie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13,68</w:t>
            </w:r>
            <w:r>
              <w:rPr>
                <w:b/>
                <w:bCs/>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18,15</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28,12</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2405453"/>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Total segment operating expense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1,413,26</w:t>
            </w:r>
            <w:r>
              <w:rPr>
                <w:b/>
                <w:bCs/>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1,336,70</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1,405,96</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2405453"/>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Facility net operating income</w:t>
            </w: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divId w:val="1512405453"/>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Safet</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370,46</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457,03</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417,29</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2405453"/>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Communit</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17,24</w:t>
            </w:r>
            <w:r>
              <w:rPr>
                <w:b/>
                <w:bCs/>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17,82</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17,08</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2405453"/>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Propertie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44,19</w:t>
            </w:r>
            <w:r>
              <w:rPr>
                <w:b/>
                <w:bCs/>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50,77</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64,97</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2405453"/>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Total facility net operating incom</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431,90</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525,63</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499,35</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2405453"/>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Other revenue (expense)</w:t>
            </w: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divId w:val="1512405453"/>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Other revenu</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15</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27</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16</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2405453"/>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Other operating expens</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52</w:t>
            </w:r>
            <w:r>
              <w:rPr>
                <w:b/>
                <w:bCs/>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36</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40</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divId w:val="1512405453"/>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127,70</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135,77</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124,33</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divId w:val="1512405453"/>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Depreciation and amortizatio</w:t>
            </w:r>
            <w:r>
              <w:rPr>
                <w:sz w:val="20"/>
                <w:szCs w:val="20"/>
              </w:rPr>
              <w:t>n</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127,90</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134,73</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150,86</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divId w:val="1512405453"/>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 xml:space="preserve">Contingent consideration for acquisition </w:t>
            </w:r>
            <w:r>
              <w:rPr>
                <w:sz w:val="20"/>
                <w:szCs w:val="20"/>
              </w:rPr>
              <w:br/>
              <w:t>   of businesse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62</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divId w:val="1512405453"/>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Shareholder litigation expens</w:t>
            </w:r>
            <w:r>
              <w:rPr>
                <w:sz w:val="20"/>
                <w:szCs w:val="20"/>
              </w:rPr>
              <w:t>e</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1,90</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54,29</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2405453"/>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Asset impairment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4,39</w:t>
            </w:r>
            <w:r>
              <w:rPr>
                <w:b/>
                <w:bCs/>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11,37</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60,62</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divId w:val="1512405453"/>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Interest expense, ne</w:t>
            </w:r>
            <w:r>
              <w:rPr>
                <w:sz w:val="20"/>
                <w:szCs w:val="20"/>
              </w:rPr>
              <w:t>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84,97</w:t>
            </w:r>
            <w:r>
              <w:rPr>
                <w:b/>
                <w:bCs/>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85,54</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83,29</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divId w:val="1512405453"/>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Expenses associated with debt repayments</w:t>
            </w:r>
            <w:r>
              <w:rPr>
                <w:sz w:val="20"/>
                <w:szCs w:val="20"/>
              </w:rPr>
              <w:br/>
              <w:t>   and refinancing transaction</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w:t>
            </w:r>
            <w:r>
              <w:rPr>
                <w:b/>
                <w:bCs/>
                <w:sz w:val="20"/>
                <w:szCs w:val="20"/>
              </w:rPr>
              <w:t>8,07</w:t>
            </w:r>
            <w:r>
              <w:rPr>
                <w:b/>
                <w:bCs/>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56,27</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7,14</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divId w:val="1512405453"/>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Gain (loss) on sale of real estate assets, ne</w:t>
            </w:r>
            <w:r>
              <w:rPr>
                <w:sz w:val="20"/>
                <w:szCs w:val="20"/>
              </w:rPr>
              <w:t>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87,72</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38,76</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13,02</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divId w:val="1512405453"/>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Other income (expense</w:t>
            </w: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98</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21</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52</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1512405453"/>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Income before income taxe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165,30</w:t>
            </w:r>
            <w:r>
              <w:rPr>
                <w:b/>
                <w:bCs/>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86,10</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59,72</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bl>
    <w:p w:rsidR="00000000" w:rsidRDefault="006D723D">
      <w:pPr>
        <w:pStyle w:val="a3"/>
        <w:spacing w:before="0" w:beforeAutospacing="0" w:after="0" w:afterAutospacing="0"/>
        <w:jc w:val="both"/>
        <w:divId w:val="1976568710"/>
        <w:rPr>
          <w:sz w:val="20"/>
          <w:szCs w:val="20"/>
        </w:rPr>
      </w:pPr>
      <w:r>
        <w:rPr>
          <w:sz w:val="20"/>
          <w:szCs w:val="20"/>
        </w:rPr>
        <w:t> </w:t>
      </w:r>
    </w:p>
    <w:p w:rsidR="00000000" w:rsidRDefault="006D723D">
      <w:pPr>
        <w:pStyle w:val="a3"/>
        <w:spacing w:before="40" w:beforeAutospacing="0" w:after="0" w:afterAutospacing="0"/>
        <w:ind w:left="476"/>
        <w:jc w:val="both"/>
        <w:divId w:val="256596607"/>
        <w:rPr>
          <w:sz w:val="20"/>
          <w:szCs w:val="20"/>
        </w:rPr>
      </w:pPr>
      <w:r>
        <w:rPr>
          <w:sz w:val="20"/>
          <w:szCs w:val="20"/>
        </w:rPr>
        <w:t>The following table summarizes capital expenditures including accrued amounts for the years ended</w:t>
      </w:r>
      <w:r>
        <w:rPr>
          <w:sz w:val="20"/>
          <w:szCs w:val="20"/>
        </w:rPr>
        <w:t xml:space="preserve"> </w:t>
      </w:r>
      <w:r>
        <w:rPr>
          <w:sz w:val="20"/>
          <w:szCs w:val="20"/>
        </w:rPr>
        <w:t>December 31, 2022, 2021, and 2020 (in thousands)</w:t>
      </w:r>
      <w:r>
        <w:rPr>
          <w:sz w:val="20"/>
          <w:szCs w:val="20"/>
        </w:rPr>
        <w:t>:</w:t>
      </w:r>
    </w:p>
    <w:p w:rsidR="00000000" w:rsidRDefault="006D723D">
      <w:pPr>
        <w:pStyle w:val="a3"/>
        <w:spacing w:before="0" w:beforeAutospacing="0" w:after="0" w:afterAutospacing="0"/>
        <w:divId w:val="256596607"/>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508"/>
        <w:gridCol w:w="110"/>
        <w:gridCol w:w="160"/>
        <w:gridCol w:w="635"/>
        <w:gridCol w:w="110"/>
        <w:gridCol w:w="110"/>
        <w:gridCol w:w="160"/>
        <w:gridCol w:w="637"/>
        <w:gridCol w:w="110"/>
        <w:gridCol w:w="110"/>
        <w:gridCol w:w="160"/>
        <w:gridCol w:w="710"/>
        <w:gridCol w:w="125"/>
      </w:tblGrid>
      <w:tr w:rsidR="00000000">
        <w:trPr>
          <w:divId w:val="256596607"/>
          <w:tblCellSpacing w:w="15" w:type="dxa"/>
        </w:trPr>
        <w:tc>
          <w:tcPr>
            <w:tcW w:w="2823" w:type="pct"/>
            <w:vAlign w:val="center"/>
            <w:hideMark/>
          </w:tcPr>
          <w:p w:rsidR="00000000" w:rsidRDefault="006D723D">
            <w:pPr>
              <w:rPr>
                <w:sz w:val="20"/>
                <w:szCs w:val="20"/>
              </w:rPr>
            </w:pPr>
          </w:p>
        </w:tc>
        <w:tc>
          <w:tcPr>
            <w:tcW w:w="6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5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5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61"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divId w:val="256596607"/>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6D723D">
            <w:pPr>
              <w:pStyle w:val="a3"/>
              <w:spacing w:before="0" w:beforeAutospacing="0" w:after="0" w:afterAutospacing="0"/>
              <w:jc w:val="center"/>
              <w:rPr>
                <w:sz w:val="16"/>
                <w:szCs w:val="16"/>
              </w:rPr>
            </w:pPr>
            <w:r>
              <w:rPr>
                <w:sz w:val="16"/>
                <w:szCs w:val="16"/>
              </w:rPr>
              <w:t>For the Years Ended December 31</w:t>
            </w:r>
            <w:r>
              <w:rPr>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256596607"/>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sz w:val="16"/>
                <w:szCs w:val="16"/>
              </w:rPr>
              <w:t>202</w:t>
            </w:r>
            <w:r>
              <w:rPr>
                <w:sz w:val="16"/>
                <w:szCs w:val="16"/>
              </w:rPr>
              <w:t>1</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sz w:val="16"/>
                <w:szCs w:val="16"/>
              </w:rPr>
              <w:t>202</w:t>
            </w:r>
            <w:r>
              <w:rPr>
                <w:sz w:val="16"/>
                <w:szCs w:val="16"/>
              </w:rPr>
              <w:t>0</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256596607"/>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Capital expenditures</w:t>
            </w: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divId w:val="256596607"/>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Safet</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70,39</w:t>
            </w:r>
            <w:r>
              <w:rPr>
                <w:b/>
                <w:bCs/>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56,97</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42,57</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256596607"/>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Communit</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2,36</w:t>
            </w:r>
            <w:r>
              <w:rPr>
                <w:b/>
                <w:bCs/>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2,63</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2,54</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256596607"/>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Propertie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3,56</w:t>
            </w:r>
            <w:r>
              <w:rPr>
                <w:b/>
                <w:bCs/>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9,08</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107,48</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256596607"/>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Corporate and othe</w:t>
            </w:r>
            <w:r>
              <w:rPr>
                <w:sz w:val="20"/>
                <w:szCs w:val="20"/>
              </w:rPr>
              <w:t>r</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7,12</w:t>
            </w:r>
            <w:r>
              <w:rPr>
                <w:b/>
                <w:bCs/>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12,80</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6,87</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256596607"/>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Total capital expenditure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83,44</w:t>
            </w:r>
            <w:r>
              <w:rPr>
                <w:b/>
                <w:bCs/>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81,49</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159,48</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bl>
    <w:p w:rsidR="00000000" w:rsidRDefault="006D723D">
      <w:pPr>
        <w:pStyle w:val="a3"/>
        <w:spacing w:before="0" w:beforeAutospacing="0" w:after="0" w:afterAutospacing="0"/>
        <w:divId w:val="1976568710"/>
        <w:rPr>
          <w:sz w:val="20"/>
          <w:szCs w:val="20"/>
        </w:rPr>
      </w:pPr>
      <w:r>
        <w:rPr>
          <w:sz w:val="20"/>
          <w:szCs w:val="20"/>
        </w:rPr>
        <w:t> </w:t>
      </w:r>
    </w:p>
    <w:p w:rsidR="00000000" w:rsidRDefault="006D723D">
      <w:pPr>
        <w:pStyle w:val="a3"/>
        <w:spacing w:before="0" w:beforeAutospacing="0" w:after="0" w:afterAutospacing="0"/>
        <w:jc w:val="center"/>
        <w:divId w:val="1976568710"/>
        <w:rPr>
          <w:sz w:val="20"/>
          <w:szCs w:val="20"/>
        </w:rPr>
      </w:pPr>
      <w:r>
        <w:rPr>
          <w:sz w:val="20"/>
          <w:szCs w:val="20"/>
        </w:rPr>
        <w:t>F</w:t>
      </w:r>
      <w:r>
        <w:rPr>
          <w:sz w:val="20"/>
          <w:szCs w:val="20"/>
        </w:rPr>
        <w:t>-</w:t>
      </w:r>
      <w:r>
        <w:rPr>
          <w:sz w:val="20"/>
          <w:szCs w:val="20"/>
        </w:rPr>
        <w:t>3</w:t>
      </w:r>
      <w:r>
        <w:rPr>
          <w:sz w:val="20"/>
          <w:szCs w:val="20"/>
        </w:rPr>
        <w:t>9</w:t>
      </w:r>
    </w:p>
    <w:p w:rsidR="00000000" w:rsidRDefault="006D723D">
      <w:pPr>
        <w:divId w:val="1976568710"/>
        <w:rPr>
          <w:rFonts w:eastAsia="Times New Roman"/>
        </w:rPr>
      </w:pPr>
      <w:r>
        <w:rPr>
          <w:rFonts w:eastAsia="Times New Roman"/>
        </w:rPr>
        <w:pict>
          <v:rect id="_x0000_i1167" style="width:0;height:1.5pt" o:hralign="center" o:hrstd="t" o:hr="t" fillcolor="#a0a0a0" stroked="f"/>
        </w:pict>
      </w:r>
    </w:p>
    <w:p w:rsidR="00000000" w:rsidRDefault="006D723D">
      <w:pPr>
        <w:pStyle w:val="a3"/>
        <w:spacing w:before="0" w:beforeAutospacing="0" w:after="0" w:afterAutospacing="0"/>
        <w:divId w:val="1976568710"/>
        <w:rPr>
          <w:sz w:val="20"/>
          <w:szCs w:val="20"/>
        </w:rPr>
      </w:pPr>
      <w:r>
        <w:rPr>
          <w:sz w:val="20"/>
          <w:szCs w:val="20"/>
        </w:rPr>
        <w:t> </w:t>
      </w:r>
    </w:p>
    <w:p w:rsidR="00000000" w:rsidRDefault="006D723D">
      <w:pPr>
        <w:pStyle w:val="a3"/>
        <w:spacing w:before="40" w:beforeAutospacing="0" w:after="0" w:afterAutospacing="0"/>
        <w:ind w:left="476"/>
        <w:jc w:val="both"/>
        <w:divId w:val="758523566"/>
        <w:rPr>
          <w:sz w:val="20"/>
          <w:szCs w:val="20"/>
        </w:rPr>
      </w:pPr>
      <w:r>
        <w:rPr>
          <w:sz w:val="20"/>
          <w:szCs w:val="20"/>
        </w:rPr>
        <w:t>The total assets are as follows (in thousands)</w:t>
      </w:r>
      <w:r>
        <w:rPr>
          <w:sz w:val="20"/>
          <w:szCs w:val="20"/>
        </w:rPr>
        <w:t>:</w:t>
      </w:r>
    </w:p>
    <w:p w:rsidR="00000000" w:rsidRDefault="006D723D">
      <w:pPr>
        <w:pStyle w:val="a3"/>
        <w:spacing w:before="40" w:beforeAutospacing="0" w:after="0" w:afterAutospacing="0"/>
        <w:jc w:val="both"/>
        <w:divId w:val="758523566"/>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319"/>
        <w:gridCol w:w="110"/>
        <w:gridCol w:w="160"/>
        <w:gridCol w:w="860"/>
        <w:gridCol w:w="110"/>
        <w:gridCol w:w="110"/>
        <w:gridCol w:w="160"/>
        <w:gridCol w:w="860"/>
        <w:gridCol w:w="125"/>
      </w:tblGrid>
      <w:tr w:rsidR="00000000">
        <w:trPr>
          <w:divId w:val="758523566"/>
          <w:tblCellSpacing w:w="15" w:type="dxa"/>
        </w:trPr>
        <w:tc>
          <w:tcPr>
            <w:tcW w:w="3288" w:type="pct"/>
            <w:vAlign w:val="center"/>
            <w:hideMark/>
          </w:tcPr>
          <w:p w:rsidR="00000000" w:rsidRDefault="006D723D">
            <w:pPr>
              <w:rPr>
                <w:sz w:val="20"/>
                <w:szCs w:val="20"/>
              </w:rPr>
            </w:pPr>
          </w:p>
        </w:tc>
        <w:tc>
          <w:tcPr>
            <w:tcW w:w="7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75"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7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7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divId w:val="758523566"/>
          <w:trHeight w:val="160"/>
          <w:tblCellSpacing w:w="15" w:type="dxa"/>
        </w:trPr>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6D723D">
            <w:pPr>
              <w:pStyle w:val="a3"/>
              <w:spacing w:before="0" w:beforeAutospacing="0" w:after="0" w:afterAutospacing="0"/>
              <w:jc w:val="center"/>
              <w:rPr>
                <w:sz w:val="16"/>
                <w:szCs w:val="16"/>
              </w:rPr>
            </w:pPr>
            <w:r>
              <w:rPr>
                <w:sz w:val="16"/>
                <w:szCs w:val="16"/>
              </w:rPr>
              <w:t>December 31</w:t>
            </w:r>
            <w:r>
              <w:rPr>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758523566"/>
          <w:trHeight w:val="160"/>
          <w:tblCellSpacing w:w="15" w:type="dxa"/>
        </w:trPr>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sz w:val="16"/>
                <w:szCs w:val="16"/>
              </w:rPr>
              <w:t>202</w:t>
            </w:r>
            <w:r>
              <w:rPr>
                <w:sz w:val="16"/>
                <w:szCs w:val="16"/>
              </w:rPr>
              <w:t>1</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divId w:val="758523566"/>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Assets</w:t>
            </w: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 </w:t>
            </w:r>
          </w:p>
        </w:tc>
      </w:tr>
      <w:tr w:rsidR="00000000">
        <w:trPr>
          <w:divId w:val="758523566"/>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Safet</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2,433,12</w:t>
            </w:r>
            <w:r>
              <w:rPr>
                <w:b/>
                <w:bCs/>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2,532,31</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758523566"/>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Communit</w:t>
            </w:r>
            <w:r>
              <w:rPr>
                <w:sz w:val="20"/>
                <w:szCs w:val="20"/>
              </w:rPr>
              <w:t>y</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216,30</w:t>
            </w:r>
            <w:r>
              <w:rPr>
                <w:b/>
                <w:bCs/>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233,17</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758523566"/>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Propertie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362,90</w:t>
            </w:r>
            <w:r>
              <w:rPr>
                <w:b/>
                <w:bCs/>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352,68</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758523566"/>
          <w:trHeight w:val="200"/>
          <w:tblCellSpacing w:w="15" w:type="dxa"/>
        </w:trPr>
        <w:tc>
          <w:tcPr>
            <w:tcW w:w="0" w:type="auto"/>
            <w:hideMark/>
          </w:tcPr>
          <w:p w:rsidR="00000000" w:rsidRDefault="006D723D">
            <w:pPr>
              <w:pStyle w:val="a3"/>
              <w:spacing w:before="0" w:beforeAutospacing="0" w:after="0" w:afterAutospacing="0"/>
              <w:ind w:left="200"/>
              <w:rPr>
                <w:sz w:val="20"/>
                <w:szCs w:val="20"/>
              </w:rPr>
            </w:pPr>
            <w:r>
              <w:rPr>
                <w:sz w:val="20"/>
                <w:szCs w:val="20"/>
              </w:rPr>
              <w:t>Corporate and othe</w:t>
            </w:r>
            <w:r>
              <w:rPr>
                <w:sz w:val="20"/>
                <w:szCs w:val="20"/>
              </w:rPr>
              <w:t>r</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232,43</w:t>
            </w:r>
            <w:r>
              <w:rPr>
                <w:b/>
                <w:bCs/>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380,75</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divId w:val="758523566"/>
          <w:trHeight w:val="200"/>
          <w:tblCellSpacing w:w="15" w:type="dxa"/>
        </w:trPr>
        <w:tc>
          <w:tcPr>
            <w:tcW w:w="0" w:type="auto"/>
            <w:hideMark/>
          </w:tcPr>
          <w:p w:rsidR="00000000" w:rsidRDefault="006D723D">
            <w:pPr>
              <w:pStyle w:val="a3"/>
              <w:spacing w:before="0" w:beforeAutospacing="0" w:after="0" w:afterAutospacing="0"/>
              <w:rPr>
                <w:sz w:val="20"/>
                <w:szCs w:val="20"/>
              </w:rPr>
            </w:pPr>
            <w:r>
              <w:rPr>
                <w:sz w:val="20"/>
                <w:szCs w:val="20"/>
              </w:rPr>
              <w:t>Total asset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20"/>
                <w:szCs w:val="20"/>
              </w:rPr>
              <w:t>3,244,76</w:t>
            </w:r>
            <w:r>
              <w:rPr>
                <w:b/>
                <w:bCs/>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3,498,93</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bl>
    <w:p w:rsidR="00000000" w:rsidRDefault="006D723D">
      <w:pPr>
        <w:pStyle w:val="a3"/>
        <w:spacing w:before="40" w:beforeAutospacing="0" w:after="0" w:afterAutospacing="0"/>
        <w:jc w:val="both"/>
        <w:rPr>
          <w:sz w:val="20"/>
          <w:szCs w:val="20"/>
        </w:rPr>
      </w:pPr>
      <w:r>
        <w:rPr>
          <w:sz w:val="20"/>
          <w:szCs w:val="20"/>
        </w:rPr>
        <w:t> </w:t>
      </w:r>
    </w:p>
    <w:p w:rsidR="00000000" w:rsidRDefault="006D723D">
      <w:pPr>
        <w:jc w:val="both"/>
        <w:divId w:val="956448206"/>
        <w:rPr>
          <w:rFonts w:eastAsia="Times New Roman"/>
          <w:sz w:val="20"/>
          <w:szCs w:val="20"/>
        </w:rPr>
      </w:pPr>
      <w:r>
        <w:rPr>
          <w:rFonts w:eastAsia="Times New Roman"/>
          <w:b/>
          <w:bCs/>
          <w:sz w:val="20"/>
          <w:szCs w:val="20"/>
        </w:rPr>
        <w:t>17</w:t>
      </w:r>
      <w:r>
        <w:rPr>
          <w:rFonts w:eastAsia="Times New Roman"/>
          <w:b/>
          <w:bCs/>
          <w:sz w:val="20"/>
          <w:szCs w:val="20"/>
        </w:rPr>
        <w:t>.</w:t>
      </w:r>
    </w:p>
    <w:p w:rsidR="00000000" w:rsidRDefault="006D723D">
      <w:pPr>
        <w:jc w:val="both"/>
        <w:divId w:val="414479546"/>
        <w:rPr>
          <w:rFonts w:eastAsia="Times New Roman"/>
          <w:sz w:val="20"/>
          <w:szCs w:val="20"/>
        </w:rPr>
      </w:pPr>
      <w:r>
        <w:rPr>
          <w:rFonts w:eastAsia="Times New Roman"/>
          <w:b/>
          <w:bCs/>
          <w:sz w:val="20"/>
          <w:szCs w:val="20"/>
        </w:rPr>
        <w:t>SUBSEQUENT EVENT</w:t>
      </w:r>
      <w:r>
        <w:rPr>
          <w:rFonts w:eastAsia="Times New Roman"/>
          <w:b/>
          <w:bCs/>
          <w:sz w:val="20"/>
          <w:szCs w:val="20"/>
        </w:rPr>
        <w:t>S</w:t>
      </w:r>
    </w:p>
    <w:p w:rsidR="00000000" w:rsidRDefault="006D723D">
      <w:pPr>
        <w:pStyle w:val="a3"/>
        <w:spacing w:before="240" w:beforeAutospacing="0" w:after="0" w:afterAutospacing="0"/>
        <w:ind w:left="476"/>
        <w:jc w:val="both"/>
        <w:divId w:val="442966290"/>
        <w:rPr>
          <w:sz w:val="20"/>
          <w:szCs w:val="20"/>
        </w:rPr>
      </w:pPr>
      <w:r>
        <w:rPr>
          <w:sz w:val="20"/>
          <w:szCs w:val="20"/>
        </w:rPr>
        <w:t>During February 2023, CoreCivic issued approximately</w:t>
      </w:r>
      <w:r>
        <w:rPr>
          <w:sz w:val="20"/>
          <w:szCs w:val="20"/>
        </w:rPr>
        <w:t xml:space="preserve"> </w:t>
      </w:r>
      <w:r>
        <w:rPr>
          <w:sz w:val="20"/>
          <w:szCs w:val="20"/>
        </w:rPr>
        <w:t>1.</w:t>
      </w:r>
      <w:r>
        <w:rPr>
          <w:sz w:val="20"/>
          <w:szCs w:val="20"/>
        </w:rPr>
        <w:t>9</w:t>
      </w:r>
      <w:r>
        <w:rPr>
          <w:sz w:val="20"/>
          <w:szCs w:val="20"/>
        </w:rPr>
        <w:t xml:space="preserve"> million RSUs to certain of CoreCivic's employees and non-employee directors, with an aggregate value of </w:t>
      </w:r>
      <w:r>
        <w:rPr>
          <w:sz w:val="20"/>
          <w:szCs w:val="20"/>
        </w:rPr>
        <w:t>$</w:t>
      </w:r>
      <w:r>
        <w:rPr>
          <w:sz w:val="20"/>
          <w:szCs w:val="20"/>
        </w:rPr>
        <w:t>22.</w:t>
      </w:r>
      <w:r>
        <w:rPr>
          <w:sz w:val="20"/>
          <w:szCs w:val="20"/>
        </w:rPr>
        <w:t>0</w:t>
      </w:r>
      <w:r>
        <w:rPr>
          <w:sz w:val="20"/>
          <w:szCs w:val="20"/>
        </w:rPr>
        <w:t xml:space="preserve"> million.</w:t>
      </w:r>
      <w:r>
        <w:rPr>
          <w:sz w:val="20"/>
          <w:szCs w:val="20"/>
        </w:rPr>
        <w:t xml:space="preserve"> </w:t>
      </w:r>
      <w:r>
        <w:rPr>
          <w:sz w:val="20"/>
          <w:szCs w:val="20"/>
        </w:rPr>
        <w:t>Unless earlier vested under the terms of the RSU agreement, approximately</w:t>
      </w:r>
      <w:r>
        <w:rPr>
          <w:sz w:val="20"/>
          <w:szCs w:val="20"/>
        </w:rPr>
        <w:t xml:space="preserve"> </w:t>
      </w:r>
      <w:r>
        <w:rPr>
          <w:sz w:val="20"/>
          <w:szCs w:val="20"/>
        </w:rPr>
        <w:t>1.</w:t>
      </w:r>
      <w:r>
        <w:rPr>
          <w:sz w:val="20"/>
          <w:szCs w:val="20"/>
        </w:rPr>
        <w:t>3</w:t>
      </w:r>
      <w:r>
        <w:rPr>
          <w:sz w:val="20"/>
          <w:szCs w:val="20"/>
        </w:rPr>
        <w:t xml:space="preserve"> mi</w:t>
      </w:r>
      <w:r>
        <w:rPr>
          <w:sz w:val="20"/>
          <w:szCs w:val="20"/>
        </w:rPr>
        <w:t>llion RSUs with time-based vesting conditions vest in equal amounts over three years on the later of (i) the anniversary date of the grant or (ii) the delivery of the audited financial statements by the Company's independent registered public accountant fo</w:t>
      </w:r>
      <w:r>
        <w:rPr>
          <w:sz w:val="20"/>
          <w:szCs w:val="20"/>
        </w:rPr>
        <w:t>r the applicable fiscal year</w:t>
      </w:r>
      <w:r>
        <w:rPr>
          <w:sz w:val="20"/>
          <w:szCs w:val="20"/>
        </w:rPr>
        <w:t>.</w:t>
      </w:r>
      <w:r>
        <w:rPr>
          <w:sz w:val="20"/>
          <w:szCs w:val="20"/>
        </w:rPr>
        <w:t xml:space="preserve"> </w:t>
      </w:r>
      <w:r>
        <w:rPr>
          <w:sz w:val="20"/>
          <w:szCs w:val="20"/>
        </w:rPr>
        <w:t>Approximately</w:t>
      </w:r>
      <w:r>
        <w:rPr>
          <w:sz w:val="20"/>
          <w:szCs w:val="20"/>
        </w:rPr>
        <w:t xml:space="preserve"> </w:t>
      </w:r>
      <w:r>
        <w:rPr>
          <w:sz w:val="20"/>
          <w:szCs w:val="20"/>
        </w:rPr>
        <w:t>0.</w:t>
      </w:r>
      <w:r>
        <w:rPr>
          <w:sz w:val="20"/>
          <w:szCs w:val="20"/>
        </w:rPr>
        <w:t>5</w:t>
      </w:r>
      <w:r>
        <w:rPr>
          <w:sz w:val="20"/>
          <w:szCs w:val="20"/>
        </w:rPr>
        <w:t xml:space="preserve"> million RSUs with performance-based vesting conditions issued to officers and executive officers are divided into one-third increments, each of which is subject to vesting based upon satisfaction of certain a</w:t>
      </w:r>
      <w:r>
        <w:rPr>
          <w:sz w:val="20"/>
          <w:szCs w:val="20"/>
        </w:rPr>
        <w:t>nnual performance criteria for the fiscal years ending December 31, 2023, 2024, and 2025, and which can be increased or decreased based on performance relative to the annual performance criteria, and further increased or decreased based on total shareholde</w:t>
      </w:r>
      <w:r>
        <w:rPr>
          <w:sz w:val="20"/>
          <w:szCs w:val="20"/>
        </w:rPr>
        <w:t>r return relative to a peer group</w:t>
      </w:r>
      <w:r>
        <w:rPr>
          <w:sz w:val="20"/>
          <w:szCs w:val="20"/>
        </w:rPr>
        <w:t>.</w:t>
      </w:r>
      <w:r>
        <w:rPr>
          <w:sz w:val="20"/>
          <w:szCs w:val="20"/>
        </w:rPr>
        <w:t xml:space="preserve"> </w:t>
      </w:r>
      <w:r>
        <w:rPr>
          <w:sz w:val="20"/>
          <w:szCs w:val="20"/>
        </w:rPr>
        <w:t>Approximately</w:t>
      </w:r>
      <w:r>
        <w:rPr>
          <w:sz w:val="20"/>
          <w:szCs w:val="20"/>
        </w:rPr>
        <w:t xml:space="preserve"> </w:t>
      </w:r>
      <w:r>
        <w:rPr>
          <w:sz w:val="20"/>
          <w:szCs w:val="20"/>
        </w:rPr>
        <w:t>0.</w:t>
      </w:r>
      <w:r>
        <w:rPr>
          <w:sz w:val="20"/>
          <w:szCs w:val="20"/>
        </w:rPr>
        <w:t>1</w:t>
      </w:r>
      <w:r>
        <w:rPr>
          <w:sz w:val="20"/>
          <w:szCs w:val="20"/>
        </w:rPr>
        <w:t xml:space="preserve"> million RSUs issued to non-employee directors vest on the first anniversary of the award. Any RSUs that become vested will be settled in shares of CoreCivic's common stock</w:t>
      </w:r>
      <w:r>
        <w:rPr>
          <w:sz w:val="20"/>
          <w:szCs w:val="20"/>
        </w:rPr>
        <w:t>.</w:t>
      </w:r>
      <w:r>
        <w:rPr>
          <w:sz w:val="20"/>
          <w:szCs w:val="20"/>
        </w:rPr>
        <w:t xml:space="preserve"> </w:t>
      </w:r>
    </w:p>
    <w:p w:rsidR="00000000" w:rsidRDefault="006D723D">
      <w:pPr>
        <w:pStyle w:val="a3"/>
        <w:spacing w:before="0" w:beforeAutospacing="0" w:after="0" w:afterAutospacing="0"/>
        <w:jc w:val="center"/>
        <w:rPr>
          <w:sz w:val="20"/>
          <w:szCs w:val="20"/>
        </w:rPr>
      </w:pPr>
      <w:r>
        <w:rPr>
          <w:sz w:val="20"/>
          <w:szCs w:val="20"/>
        </w:rPr>
        <w:t>F</w:t>
      </w:r>
      <w:r>
        <w:rPr>
          <w:sz w:val="20"/>
          <w:szCs w:val="20"/>
        </w:rPr>
        <w:t>-</w:t>
      </w:r>
      <w:r>
        <w:rPr>
          <w:sz w:val="20"/>
          <w:szCs w:val="20"/>
        </w:rPr>
        <w:t>4</w:t>
      </w:r>
      <w:r>
        <w:rPr>
          <w:sz w:val="20"/>
          <w:szCs w:val="20"/>
        </w:rPr>
        <w:t>0</w:t>
      </w:r>
    </w:p>
    <w:p w:rsidR="00000000" w:rsidRDefault="006D723D">
      <w:pPr>
        <w:rPr>
          <w:rFonts w:eastAsia="Times New Roman"/>
        </w:rPr>
      </w:pPr>
      <w:r>
        <w:rPr>
          <w:rFonts w:eastAsia="Times New Roman"/>
        </w:rPr>
        <w:pict>
          <v:rect id="_x0000_i1168" style="width:0;height:1.5pt" o:hralign="center" o:hrstd="t" o:hr="t" fillcolor="#a0a0a0" stroked="f"/>
        </w:pict>
      </w:r>
    </w:p>
    <w:p w:rsidR="00000000" w:rsidRDefault="006D723D">
      <w:pPr>
        <w:pStyle w:val="a3"/>
        <w:spacing w:before="0" w:beforeAutospacing="0" w:after="0" w:afterAutospacing="0"/>
        <w:jc w:val="center"/>
        <w:rPr>
          <w:sz w:val="20"/>
          <w:szCs w:val="20"/>
        </w:rPr>
      </w:pPr>
      <w:r>
        <w:rPr>
          <w:b/>
          <w:bCs/>
          <w:sz w:val="20"/>
          <w:szCs w:val="20"/>
        </w:rPr>
        <w:t>CORECIVIC, INC. AND SUBSIDIARIE</w:t>
      </w:r>
      <w:r>
        <w:rPr>
          <w:b/>
          <w:bCs/>
          <w:sz w:val="20"/>
          <w:szCs w:val="20"/>
        </w:rPr>
        <w:t>S</w:t>
      </w:r>
    </w:p>
    <w:p w:rsidR="00000000" w:rsidRDefault="006D723D">
      <w:pPr>
        <w:pStyle w:val="a3"/>
        <w:spacing w:before="0" w:beforeAutospacing="0" w:after="0" w:afterAutospacing="0"/>
        <w:jc w:val="center"/>
        <w:rPr>
          <w:sz w:val="20"/>
          <w:szCs w:val="20"/>
        </w:rPr>
      </w:pPr>
      <w:r>
        <w:rPr>
          <w:b/>
          <w:bCs/>
          <w:sz w:val="20"/>
          <w:szCs w:val="20"/>
        </w:rPr>
        <w:t>SCHEDULE III - REAL ESTATE ASSETS AND ACCUMULATED DEPRECIATIO</w:t>
      </w:r>
      <w:r>
        <w:rPr>
          <w:b/>
          <w:bCs/>
          <w:sz w:val="20"/>
          <w:szCs w:val="20"/>
        </w:rPr>
        <w:t>N</w:t>
      </w:r>
    </w:p>
    <w:p w:rsidR="00000000" w:rsidRDefault="006D723D">
      <w:pPr>
        <w:pStyle w:val="a3"/>
        <w:spacing w:before="0" w:beforeAutospacing="0" w:after="0" w:afterAutospacing="0"/>
        <w:jc w:val="center"/>
        <w:rPr>
          <w:sz w:val="20"/>
          <w:szCs w:val="20"/>
        </w:rPr>
      </w:pPr>
      <w:r>
        <w:rPr>
          <w:b/>
          <w:bCs/>
          <w:sz w:val="20"/>
          <w:szCs w:val="20"/>
        </w:rPr>
        <w:t>DECEMBER 31, 202</w:t>
      </w:r>
      <w:r>
        <w:rPr>
          <w:b/>
          <w:bCs/>
          <w:sz w:val="20"/>
          <w:szCs w:val="20"/>
        </w:rPr>
        <w:t>2</w:t>
      </w:r>
    </w:p>
    <w:p w:rsidR="00000000" w:rsidRDefault="006D723D">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6D723D">
      <w:pPr>
        <w:pStyle w:val="a3"/>
        <w:spacing w:before="0" w:beforeAutospacing="0" w:after="0" w:afterAutospacing="0"/>
        <w:jc w:val="center"/>
        <w:rPr>
          <w:sz w:val="20"/>
          <w:szCs w:val="20"/>
        </w:rPr>
      </w:pPr>
      <w:r>
        <w:rPr>
          <w:sz w:val="10"/>
          <w:szCs w:val="10"/>
        </w:rPr>
        <w:t> </w:t>
      </w:r>
    </w:p>
    <w:p w:rsidR="00000000" w:rsidRDefault="006D723D">
      <w:pPr>
        <w:pStyle w:val="a3"/>
        <w:spacing w:before="0" w:beforeAutospacing="0" w:after="0" w:afterAutospacing="0"/>
        <w:jc w:val="center"/>
        <w:rPr>
          <w:sz w:val="20"/>
          <w:szCs w:val="20"/>
        </w:rPr>
      </w:pPr>
      <w:r>
        <w:rPr>
          <w:sz w:val="20"/>
          <w:szCs w:val="20"/>
        </w:rPr>
        <w:t> </w:t>
      </w:r>
    </w:p>
    <w:p w:rsidR="00000000" w:rsidRDefault="006D723D">
      <w:pPr>
        <w:pStyle w:val="a3"/>
        <w:spacing w:before="0" w:beforeAutospacing="0" w:after="0" w:afterAutospacing="0"/>
        <w:jc w:val="center"/>
        <w:divId w:val="210884612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8"/>
        <w:gridCol w:w="98"/>
        <w:gridCol w:w="806"/>
        <w:gridCol w:w="98"/>
        <w:gridCol w:w="135"/>
        <w:gridCol w:w="473"/>
        <w:gridCol w:w="98"/>
        <w:gridCol w:w="98"/>
        <w:gridCol w:w="195"/>
        <w:gridCol w:w="736"/>
        <w:gridCol w:w="98"/>
        <w:gridCol w:w="98"/>
        <w:gridCol w:w="162"/>
        <w:gridCol w:w="591"/>
        <w:gridCol w:w="98"/>
        <w:gridCol w:w="98"/>
        <w:gridCol w:w="193"/>
        <w:gridCol w:w="738"/>
        <w:gridCol w:w="98"/>
        <w:gridCol w:w="98"/>
        <w:gridCol w:w="182"/>
        <w:gridCol w:w="749"/>
        <w:gridCol w:w="98"/>
        <w:gridCol w:w="260"/>
        <w:gridCol w:w="135"/>
        <w:gridCol w:w="548"/>
        <w:gridCol w:w="98"/>
        <w:gridCol w:w="260"/>
        <w:gridCol w:w="173"/>
        <w:gridCol w:w="681"/>
        <w:gridCol w:w="110"/>
        <w:gridCol w:w="98"/>
        <w:gridCol w:w="853"/>
      </w:tblGrid>
      <w:tr w:rsidR="00000000">
        <w:trPr>
          <w:divId w:val="2108846129"/>
          <w:tblCellSpacing w:w="15" w:type="dxa"/>
        </w:trPr>
        <w:tc>
          <w:tcPr>
            <w:tcW w:w="1088" w:type="pct"/>
            <w:vAlign w:val="center"/>
            <w:hideMark/>
          </w:tcPr>
          <w:p w:rsidR="00000000" w:rsidRDefault="006D723D">
            <w:pPr>
              <w:rPr>
                <w:sz w:val="20"/>
                <w:szCs w:val="20"/>
              </w:rPr>
            </w:pPr>
          </w:p>
        </w:tc>
        <w:tc>
          <w:tcPr>
            <w:tcW w:w="22" w:type="pct"/>
            <w:vAlign w:val="center"/>
            <w:hideMark/>
          </w:tcPr>
          <w:p w:rsidR="00000000" w:rsidRDefault="006D723D">
            <w:pPr>
              <w:rPr>
                <w:rFonts w:eastAsia="Times New Roman"/>
                <w:sz w:val="20"/>
                <w:szCs w:val="20"/>
              </w:rPr>
            </w:pPr>
          </w:p>
        </w:tc>
        <w:tc>
          <w:tcPr>
            <w:tcW w:w="884" w:type="pct"/>
            <w:vAlign w:val="center"/>
            <w:hideMark/>
          </w:tcPr>
          <w:p w:rsidR="00000000" w:rsidRDefault="006D723D">
            <w:pPr>
              <w:rPr>
                <w:rFonts w:eastAsia="Times New Roman"/>
                <w:sz w:val="20"/>
                <w:szCs w:val="20"/>
              </w:rPr>
            </w:pPr>
          </w:p>
        </w:tc>
        <w:tc>
          <w:tcPr>
            <w:tcW w:w="2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1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1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1"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1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1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37"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10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1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10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2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19" w:type="pct"/>
            <w:vAlign w:val="center"/>
            <w:hideMark/>
          </w:tcPr>
          <w:p w:rsidR="00000000" w:rsidRDefault="006D723D">
            <w:pPr>
              <w:rPr>
                <w:rFonts w:eastAsia="Times New Roman"/>
                <w:sz w:val="20"/>
                <w:szCs w:val="20"/>
              </w:rPr>
            </w:pPr>
          </w:p>
        </w:tc>
        <w:tc>
          <w:tcPr>
            <w:tcW w:w="413" w:type="pct"/>
            <w:vAlign w:val="center"/>
            <w:hideMark/>
          </w:tcPr>
          <w:p w:rsidR="00000000" w:rsidRDefault="006D723D">
            <w:pPr>
              <w:rPr>
                <w:rFonts w:eastAsia="Times New Roman"/>
                <w:sz w:val="20"/>
                <w:szCs w:val="20"/>
              </w:rPr>
            </w:pPr>
          </w:p>
        </w:tc>
      </w:tr>
      <w:tr w:rsidR="00000000">
        <w:trPr>
          <w:divId w:val="2108846129"/>
          <w:trHeight w:val="140"/>
          <w:tblCellSpacing w:w="15" w:type="dxa"/>
        </w:trPr>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6"/>
            <w:vAlign w:val="bottom"/>
            <w:hideMark/>
          </w:tcPr>
          <w:p w:rsidR="00000000" w:rsidRDefault="006D723D">
            <w:pPr>
              <w:pStyle w:val="a3"/>
              <w:spacing w:before="0" w:beforeAutospacing="0" w:after="0" w:afterAutospacing="0"/>
              <w:jc w:val="center"/>
              <w:rPr>
                <w:sz w:val="14"/>
                <w:szCs w:val="14"/>
              </w:rPr>
            </w:pPr>
            <w:r>
              <w:rPr>
                <w:b/>
                <w:bCs/>
                <w:sz w:val="14"/>
                <w:szCs w:val="14"/>
              </w:rPr>
              <w:t>Initial Cost to</w:t>
            </w:r>
            <w:r>
              <w:rPr>
                <w:b/>
                <w:bCs/>
                <w:sz w:val="14"/>
                <w:szCs w:val="14"/>
              </w:rPr>
              <w:br/>
              <w:t>Compan</w:t>
            </w:r>
            <w:r>
              <w:rPr>
                <w:b/>
                <w:bCs/>
                <w:sz w:val="14"/>
                <w:szCs w:val="14"/>
              </w:rPr>
              <w:t>y</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10"/>
            <w:vAlign w:val="bottom"/>
            <w:hideMark/>
          </w:tcPr>
          <w:p w:rsidR="00000000" w:rsidRDefault="006D723D">
            <w:pPr>
              <w:pStyle w:val="a3"/>
              <w:spacing w:before="0" w:beforeAutospacing="0" w:after="0" w:afterAutospacing="0"/>
              <w:jc w:val="center"/>
              <w:rPr>
                <w:sz w:val="14"/>
                <w:szCs w:val="14"/>
              </w:rPr>
            </w:pPr>
            <w:r>
              <w:rPr>
                <w:b/>
                <w:bCs/>
                <w:sz w:val="14"/>
                <w:szCs w:val="14"/>
              </w:rPr>
              <w:t>Gross Amount at Which Carried at</w:t>
            </w:r>
            <w:r>
              <w:rPr>
                <w:b/>
                <w:bCs/>
                <w:sz w:val="14"/>
                <w:szCs w:val="14"/>
              </w:rPr>
              <w:br/>
              <w:t>Close of Perio</w:t>
            </w:r>
            <w:r>
              <w:rPr>
                <w:b/>
                <w:bCs/>
                <w:sz w:val="14"/>
                <w:szCs w:val="14"/>
              </w:rPr>
              <w:t>d</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r>
      <w:tr w:rsidR="00000000">
        <w:trPr>
          <w:divId w:val="2108846129"/>
          <w:trHeight w:val="140"/>
          <w:tblCellSpacing w:w="15" w:type="dxa"/>
        </w:trPr>
        <w:tc>
          <w:tcPr>
            <w:tcW w:w="0" w:type="auto"/>
            <w:vAlign w:val="bottom"/>
            <w:hideMark/>
          </w:tcPr>
          <w:p w:rsidR="00000000" w:rsidRDefault="006D723D">
            <w:pPr>
              <w:pStyle w:val="a3"/>
              <w:spacing w:before="0" w:beforeAutospacing="0" w:after="0" w:afterAutospacing="0"/>
              <w:rPr>
                <w:sz w:val="14"/>
                <w:szCs w:val="14"/>
              </w:rPr>
            </w:pPr>
            <w:r>
              <w:rPr>
                <w:b/>
                <w:bCs/>
                <w:sz w:val="14"/>
                <w:szCs w:val="14"/>
                <w:u w:val="single"/>
              </w:rPr>
              <w:t>Descriptio</w:t>
            </w:r>
            <w:r>
              <w:rPr>
                <w:b/>
                <w:bCs/>
                <w:sz w:val="14"/>
                <w:szCs w:val="14"/>
                <w:u w:val="single"/>
              </w:rPr>
              <w:t>n</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b/>
                <w:bCs/>
                <w:sz w:val="14"/>
                <w:szCs w:val="14"/>
              </w:rPr>
              <w:t>Locatio</w:t>
            </w:r>
            <w:r>
              <w:rPr>
                <w:b/>
                <w:bCs/>
                <w:sz w:val="14"/>
                <w:szCs w:val="14"/>
              </w:rPr>
              <w:t>n</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6D723D">
            <w:pPr>
              <w:pStyle w:val="a3"/>
              <w:spacing w:before="0" w:beforeAutospacing="0" w:after="0" w:afterAutospacing="0"/>
              <w:jc w:val="center"/>
              <w:rPr>
                <w:sz w:val="14"/>
                <w:szCs w:val="14"/>
              </w:rPr>
            </w:pPr>
            <w:r>
              <w:rPr>
                <w:b/>
                <w:bCs/>
                <w:sz w:val="14"/>
                <w:szCs w:val="14"/>
              </w:rPr>
              <w:t>Lan</w:t>
            </w:r>
            <w:r>
              <w:rPr>
                <w:b/>
                <w:bCs/>
                <w:sz w:val="14"/>
                <w:szCs w:val="14"/>
              </w:rPr>
              <w:t>d</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6D723D">
            <w:pPr>
              <w:pStyle w:val="a3"/>
              <w:spacing w:before="0" w:beforeAutospacing="0" w:after="0" w:afterAutospacing="0"/>
              <w:jc w:val="center"/>
              <w:rPr>
                <w:sz w:val="14"/>
                <w:szCs w:val="14"/>
              </w:rPr>
            </w:pPr>
            <w:r>
              <w:rPr>
                <w:b/>
                <w:bCs/>
                <w:sz w:val="14"/>
                <w:szCs w:val="14"/>
              </w:rPr>
              <w:t>Buildings and</w:t>
            </w:r>
            <w:r>
              <w:rPr>
                <w:b/>
                <w:bCs/>
                <w:sz w:val="14"/>
                <w:szCs w:val="14"/>
              </w:rPr>
              <w:br/>
              <w:t>Improvement</w:t>
            </w:r>
            <w:r>
              <w:rPr>
                <w:b/>
                <w:bCs/>
                <w:sz w:val="14"/>
                <w:szCs w:val="14"/>
              </w:rPr>
              <w:t>s</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6D723D">
            <w:pPr>
              <w:pStyle w:val="a3"/>
              <w:spacing w:before="0" w:beforeAutospacing="0" w:after="0" w:afterAutospacing="0"/>
              <w:jc w:val="center"/>
              <w:rPr>
                <w:sz w:val="14"/>
                <w:szCs w:val="14"/>
              </w:rPr>
            </w:pPr>
            <w:r>
              <w:rPr>
                <w:b/>
                <w:bCs/>
                <w:sz w:val="14"/>
                <w:szCs w:val="14"/>
              </w:rPr>
              <w:t>Cost Capitalized</w:t>
            </w:r>
            <w:r>
              <w:rPr>
                <w:b/>
                <w:bCs/>
                <w:sz w:val="14"/>
                <w:szCs w:val="14"/>
              </w:rPr>
              <w:br/>
              <w:t>Subsequent to</w:t>
            </w:r>
            <w:r>
              <w:rPr>
                <w:b/>
                <w:bCs/>
                <w:sz w:val="14"/>
                <w:szCs w:val="14"/>
              </w:rPr>
              <w:br/>
              <w:t>Acquisitio</w:t>
            </w:r>
            <w:r>
              <w:rPr>
                <w:b/>
                <w:bCs/>
                <w:sz w:val="14"/>
                <w:szCs w:val="14"/>
              </w:rPr>
              <w:t>n</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6D723D">
            <w:pPr>
              <w:pStyle w:val="a3"/>
              <w:spacing w:before="0" w:beforeAutospacing="0" w:after="0" w:afterAutospacing="0"/>
              <w:jc w:val="center"/>
              <w:rPr>
                <w:sz w:val="14"/>
                <w:szCs w:val="14"/>
              </w:rPr>
            </w:pPr>
            <w:r>
              <w:rPr>
                <w:b/>
                <w:bCs/>
                <w:sz w:val="14"/>
                <w:szCs w:val="14"/>
              </w:rPr>
              <w:t>Land and Land</w:t>
            </w:r>
            <w:r>
              <w:rPr>
                <w:b/>
                <w:bCs/>
                <w:sz w:val="14"/>
                <w:szCs w:val="14"/>
              </w:rPr>
              <w:br/>
              <w:t>Improvement</w:t>
            </w:r>
            <w:r>
              <w:rPr>
                <w:b/>
                <w:bCs/>
                <w:sz w:val="14"/>
                <w:szCs w:val="14"/>
              </w:rPr>
              <w:t>s</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6D723D">
            <w:pPr>
              <w:pStyle w:val="a3"/>
              <w:spacing w:before="0" w:beforeAutospacing="0" w:after="0" w:afterAutospacing="0"/>
              <w:jc w:val="center"/>
              <w:rPr>
                <w:sz w:val="14"/>
                <w:szCs w:val="14"/>
              </w:rPr>
            </w:pPr>
            <w:r>
              <w:rPr>
                <w:b/>
                <w:bCs/>
                <w:sz w:val="14"/>
                <w:szCs w:val="14"/>
              </w:rPr>
              <w:t>Buildings and</w:t>
            </w:r>
            <w:r>
              <w:rPr>
                <w:b/>
                <w:bCs/>
                <w:sz w:val="14"/>
                <w:szCs w:val="14"/>
              </w:rPr>
              <w:br/>
              <w:t>Leasehold</w:t>
            </w:r>
            <w:r>
              <w:rPr>
                <w:b/>
                <w:bCs/>
                <w:sz w:val="14"/>
                <w:szCs w:val="14"/>
              </w:rPr>
              <w:br/>
            </w:r>
            <w:r>
              <w:rPr>
                <w:b/>
                <w:bCs/>
                <w:sz w:val="14"/>
                <w:szCs w:val="14"/>
              </w:rPr>
              <w:t>Improvement</w:t>
            </w:r>
            <w:r>
              <w:rPr>
                <w:b/>
                <w:bCs/>
                <w:sz w:val="14"/>
                <w:szCs w:val="14"/>
              </w:rPr>
              <w:t>s</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6D723D">
            <w:pPr>
              <w:pStyle w:val="a3"/>
              <w:spacing w:before="0" w:beforeAutospacing="0" w:after="0" w:afterAutospacing="0"/>
              <w:jc w:val="center"/>
              <w:rPr>
                <w:sz w:val="14"/>
                <w:szCs w:val="14"/>
              </w:rPr>
            </w:pPr>
            <w:r>
              <w:rPr>
                <w:b/>
                <w:bCs/>
                <w:sz w:val="14"/>
                <w:szCs w:val="14"/>
              </w:rPr>
              <w:t>Total (A</w:t>
            </w:r>
            <w:r>
              <w:rPr>
                <w:b/>
                <w:bCs/>
                <w:sz w:val="14"/>
                <w:szCs w:val="14"/>
              </w:rPr>
              <w:t>)</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6D723D">
            <w:pPr>
              <w:pStyle w:val="a3"/>
              <w:spacing w:before="0" w:beforeAutospacing="0" w:after="0" w:afterAutospacing="0"/>
              <w:jc w:val="center"/>
              <w:rPr>
                <w:sz w:val="14"/>
                <w:szCs w:val="14"/>
              </w:rPr>
            </w:pPr>
            <w:r>
              <w:rPr>
                <w:b/>
                <w:bCs/>
                <w:sz w:val="14"/>
                <w:szCs w:val="14"/>
              </w:rPr>
              <w:t>Accumulated Depreciation (B</w:t>
            </w:r>
            <w:r>
              <w:rPr>
                <w:b/>
                <w:bCs/>
                <w:sz w:val="14"/>
                <w:szCs w:val="14"/>
              </w:rPr>
              <w:t>)</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b/>
                <w:bCs/>
                <w:sz w:val="14"/>
                <w:szCs w:val="14"/>
              </w:rPr>
              <w:t>Date</w:t>
            </w:r>
            <w:r>
              <w:rPr>
                <w:b/>
                <w:bCs/>
                <w:sz w:val="14"/>
                <w:szCs w:val="14"/>
              </w:rPr>
              <w:br/>
              <w:t>Constructed/</w:t>
            </w:r>
            <w:r>
              <w:rPr>
                <w:b/>
                <w:bCs/>
                <w:sz w:val="14"/>
                <w:szCs w:val="14"/>
              </w:rPr>
              <w:br/>
              <w:t>Acquire</w:t>
            </w:r>
            <w:r>
              <w:rPr>
                <w:b/>
                <w:bCs/>
                <w:sz w:val="14"/>
                <w:szCs w:val="14"/>
              </w:rPr>
              <w:t>d</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Adams County Correctional</w:t>
            </w:r>
            <w:r>
              <w:rPr>
                <w:sz w:val="15"/>
                <w:szCs w:val="15"/>
              </w:rPr>
              <w:br/>
              <w:t>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Adams County, Mississipp</w:t>
            </w:r>
            <w:r>
              <w:rPr>
                <w:sz w:val="15"/>
                <w:szCs w:val="15"/>
              </w:rPr>
              <w:t>i</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87</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119,56</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4,61</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1,19</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123,85</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125,05</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35,57</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200</w:t>
            </w:r>
            <w:r>
              <w:rPr>
                <w:sz w:val="15"/>
                <w:szCs w:val="15"/>
              </w:rPr>
              <w:t>8</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Adams Transitional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Denver, Colorad</w:t>
            </w:r>
            <w:r>
              <w:rPr>
                <w:sz w:val="15"/>
                <w:szCs w:val="15"/>
              </w:rPr>
              <w:t>o</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6,09</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85</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76</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6,34</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1,36</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7,71</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28</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7</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 xml:space="preserve">Arapahoe Community </w:t>
            </w:r>
            <w:r>
              <w:rPr>
                <w:sz w:val="15"/>
                <w:szCs w:val="15"/>
              </w:rPr>
              <w:br/>
              <w:t>   Treatment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Englewood, Colorad</w:t>
            </w:r>
            <w:r>
              <w:rPr>
                <w:sz w:val="15"/>
                <w:szCs w:val="15"/>
              </w:rPr>
              <w:t>o</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3,76</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1,23</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85</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3,76</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2,09</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5,85</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48</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7</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Augusta Transitional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Augusta, Georgi</w:t>
            </w:r>
            <w:r>
              <w:rPr>
                <w:sz w:val="15"/>
                <w:szCs w:val="15"/>
              </w:rPr>
              <w:t>a</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1,28</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2,67</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20</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1,28</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2,88</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4,16</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40</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7</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Austin Residential Reentry</w:t>
            </w:r>
            <w:r>
              <w:rPr>
                <w:sz w:val="15"/>
                <w:szCs w:val="15"/>
              </w:rPr>
              <w:br/>
              <w:t>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Del Valle, Texa</w:t>
            </w:r>
            <w:r>
              <w:rPr>
                <w:sz w:val="15"/>
                <w:szCs w:val="15"/>
              </w:rPr>
              <w:t>s</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4,19</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1,05</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38</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4,21</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1,41</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5,63</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52</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5</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Austin Transitional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Del Valle, Texa</w:t>
            </w:r>
            <w:r>
              <w:rPr>
                <w:sz w:val="15"/>
                <w:szCs w:val="15"/>
              </w:rPr>
              <w:t>s</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19,48</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4,60</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1,08</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19,50</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5,67</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25,17</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1,73</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5</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Bent County Correctional Facilit</w:t>
            </w:r>
            <w:r>
              <w:rPr>
                <w:sz w:val="15"/>
                <w:szCs w:val="15"/>
              </w:rPr>
              <w:t>y</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Las Animas, Colorad</w:t>
            </w:r>
            <w:r>
              <w:rPr>
                <w:sz w:val="15"/>
                <w:szCs w:val="15"/>
              </w:rPr>
              <w:t>o</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55</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13,11</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69,92</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1,60</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81,98</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83,58</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33,53</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199</w:t>
            </w:r>
            <w:r>
              <w:rPr>
                <w:sz w:val="15"/>
                <w:szCs w:val="15"/>
              </w:rPr>
              <w:t>2</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Bridgeport Pre-Parole Transfer</w:t>
            </w:r>
            <w:r>
              <w:rPr>
                <w:sz w:val="15"/>
                <w:szCs w:val="15"/>
              </w:rPr>
              <w:br/>
              <w:t>   Facilit</w:t>
            </w:r>
            <w:r>
              <w:rPr>
                <w:sz w:val="15"/>
                <w:szCs w:val="15"/>
              </w:rPr>
              <w:t>y</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Bridgeport, Texa</w:t>
            </w:r>
            <w:r>
              <w:rPr>
                <w:sz w:val="15"/>
                <w:szCs w:val="15"/>
              </w:rPr>
              <w:t>s</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7</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29</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7</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7</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15"/>
                <w:szCs w:val="15"/>
              </w:rPr>
            </w:pPr>
            <w:r>
              <w:rPr>
                <w:b/>
                <w:bCs/>
                <w:sz w:val="15"/>
                <w:szCs w:val="15"/>
              </w:rPr>
              <w:t>(E</w:t>
            </w:r>
            <w:r>
              <w:rPr>
                <w:b/>
                <w:bCs/>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199</w:t>
            </w:r>
            <w:r>
              <w:rPr>
                <w:sz w:val="15"/>
                <w:szCs w:val="15"/>
              </w:rPr>
              <w:t>5</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CAI Boston Avenu</w:t>
            </w:r>
            <w:r>
              <w:rPr>
                <w:sz w:val="15"/>
                <w:szCs w:val="15"/>
              </w:rPr>
              <w:t>e</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San Diego, Californi</w:t>
            </w:r>
            <w:r>
              <w:rPr>
                <w:sz w:val="15"/>
                <w:szCs w:val="15"/>
              </w:rPr>
              <w:t>a</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80</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11,44</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1,30</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84</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12,70</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13,54</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4,26</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3</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California City Correctional</w:t>
            </w:r>
            <w:r>
              <w:rPr>
                <w:sz w:val="15"/>
                <w:szCs w:val="15"/>
              </w:rPr>
              <w:br/>
              <w:t>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California City, Californi</w:t>
            </w:r>
            <w:r>
              <w:rPr>
                <w:sz w:val="15"/>
                <w:szCs w:val="15"/>
              </w:rPr>
              <w:t>a</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1,78</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125,33</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17,94</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3,10</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141,96</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145,06</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65,90</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199</w:t>
            </w:r>
            <w:r>
              <w:rPr>
                <w:sz w:val="15"/>
                <w:szCs w:val="15"/>
              </w:rPr>
              <w:t>9</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Centennial Community</w:t>
            </w:r>
            <w:r>
              <w:rPr>
                <w:sz w:val="15"/>
                <w:szCs w:val="15"/>
              </w:rPr>
              <w:br/>
              <w:t>   Transition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Englewood, Colorad</w:t>
            </w:r>
            <w:r>
              <w:rPr>
                <w:sz w:val="15"/>
                <w:szCs w:val="15"/>
              </w:rPr>
              <w:t>o</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4,90</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1,25</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48</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5,02</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1,62</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6,64</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46</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6</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Central Arizona Florence</w:t>
            </w:r>
            <w:r>
              <w:rPr>
                <w:sz w:val="15"/>
                <w:szCs w:val="15"/>
              </w:rPr>
              <w:br/>
              <w:t>   Correctional Comple</w:t>
            </w:r>
            <w:r>
              <w:rPr>
                <w:sz w:val="15"/>
                <w:szCs w:val="15"/>
              </w:rPr>
              <w:t>x</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Florence, Arizon</w:t>
            </w:r>
            <w:r>
              <w:rPr>
                <w:sz w:val="15"/>
                <w:szCs w:val="15"/>
              </w:rPr>
              <w:t>a</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1,29</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133,53</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54,50</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4,78</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184,55</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189,33</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91,26</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199</w:t>
            </w:r>
            <w:r>
              <w:rPr>
                <w:sz w:val="15"/>
                <w:szCs w:val="15"/>
              </w:rPr>
              <w:t>4</w:t>
            </w:r>
            <w:r>
              <w:rPr>
                <w:sz w:val="15"/>
                <w:szCs w:val="15"/>
              </w:rPr>
              <w:t>/</w:t>
            </w:r>
            <w:r>
              <w:rPr>
                <w:sz w:val="15"/>
                <w:szCs w:val="15"/>
              </w:rPr>
              <w:t>199</w:t>
            </w:r>
            <w:r>
              <w:rPr>
                <w:sz w:val="15"/>
                <w:szCs w:val="15"/>
              </w:rPr>
              <w:t>9</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Cheyenne Transitional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Cheyenne, Wyomin</w:t>
            </w:r>
            <w:r>
              <w:rPr>
                <w:sz w:val="15"/>
                <w:szCs w:val="15"/>
              </w:rPr>
              <w:t>g</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5,56</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2,09</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1,01</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5,56</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3,10</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8,67</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96</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5</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Cibola County Corrections</w:t>
            </w:r>
            <w:r>
              <w:rPr>
                <w:sz w:val="15"/>
                <w:szCs w:val="15"/>
              </w:rPr>
              <w:br/>
              <w:t>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Milan, New Mexic</w:t>
            </w:r>
            <w:r>
              <w:rPr>
                <w:sz w:val="15"/>
                <w:szCs w:val="15"/>
              </w:rPr>
              <w:t>o</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44</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16,21</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33,69</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1,59</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48,76</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50,35</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25,59</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199</w:t>
            </w:r>
            <w:r>
              <w:rPr>
                <w:sz w:val="15"/>
                <w:szCs w:val="15"/>
              </w:rPr>
              <w:t>4</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Cimarron Correctional Facilit</w:t>
            </w:r>
            <w:r>
              <w:rPr>
                <w:sz w:val="15"/>
                <w:szCs w:val="15"/>
              </w:rPr>
              <w:t>y</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Cushing, Oklahom</w:t>
            </w:r>
            <w:r>
              <w:rPr>
                <w:sz w:val="15"/>
                <w:szCs w:val="15"/>
              </w:rPr>
              <w:t>a</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25</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71,30</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51,85</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87</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122,53</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123,40</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50,48</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199</w:t>
            </w:r>
            <w:r>
              <w:rPr>
                <w:sz w:val="15"/>
                <w:szCs w:val="15"/>
              </w:rPr>
              <w:t>7</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Coffee Correctional Facility (D</w:t>
            </w: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Nicholls, Georgi</w:t>
            </w:r>
            <w:r>
              <w:rPr>
                <w:sz w:val="15"/>
                <w:szCs w:val="15"/>
              </w:rPr>
              <w:t>a</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199</w:t>
            </w:r>
            <w:r>
              <w:rPr>
                <w:sz w:val="15"/>
                <w:szCs w:val="15"/>
              </w:rPr>
              <w:t>8</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Columbine Facility (C</w:t>
            </w: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Denver, Colorad</w:t>
            </w:r>
            <w:r>
              <w:rPr>
                <w:sz w:val="15"/>
                <w:szCs w:val="15"/>
              </w:rPr>
              <w:t>o</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1,41</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48</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23</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66</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72</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15"/>
                <w:szCs w:val="15"/>
              </w:rPr>
            </w:pPr>
            <w:r>
              <w:rPr>
                <w:b/>
                <w:bCs/>
                <w:sz w:val="15"/>
                <w:szCs w:val="15"/>
              </w:rPr>
              <w:t>(E</w:t>
            </w:r>
            <w:r>
              <w:rPr>
                <w:b/>
                <w:bCs/>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1,38</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22</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6</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Commerce Transitional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Commerce City, Colorad</w:t>
            </w:r>
            <w:r>
              <w:rPr>
                <w:sz w:val="15"/>
                <w:szCs w:val="15"/>
              </w:rPr>
              <w:t>o</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5,16</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1,75</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41</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5,16</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2,17</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7,34</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39</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7</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Corpus Christi Transitional</w:t>
            </w:r>
            <w:r>
              <w:rPr>
                <w:sz w:val="15"/>
                <w:szCs w:val="15"/>
              </w:rPr>
              <w:br/>
              <w:t>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Corpus Christi, Texa</w:t>
            </w:r>
            <w:r>
              <w:rPr>
                <w:sz w:val="15"/>
                <w:szCs w:val="15"/>
              </w:rPr>
              <w:t>s</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1,88</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58</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2,47</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2,47</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1,77</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5</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Crossroads Correctional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Shelby, Montan</w:t>
            </w:r>
            <w:r>
              <w:rPr>
                <w:sz w:val="15"/>
                <w:szCs w:val="15"/>
              </w:rPr>
              <w:t>a</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41</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33,19</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45,01</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1,62</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76,99</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78,62</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46,07</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199</w:t>
            </w:r>
            <w:r>
              <w:rPr>
                <w:sz w:val="15"/>
                <w:szCs w:val="15"/>
              </w:rPr>
              <w:t>9</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Crowley County Correctional</w:t>
            </w:r>
            <w:r>
              <w:rPr>
                <w:sz w:val="15"/>
                <w:szCs w:val="15"/>
              </w:rPr>
              <w:br/>
              <w:t>   Facilit</w:t>
            </w:r>
            <w:r>
              <w:rPr>
                <w:sz w:val="15"/>
                <w:szCs w:val="15"/>
              </w:rPr>
              <w:t>y</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Olney Springs, Colorad</w:t>
            </w:r>
            <w:r>
              <w:rPr>
                <w:sz w:val="15"/>
                <w:szCs w:val="15"/>
              </w:rPr>
              <w:t>o</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21</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46,84</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34,81</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2,60</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79,27</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81,87</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33,99</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200</w:t>
            </w:r>
            <w:r>
              <w:rPr>
                <w:sz w:val="15"/>
                <w:szCs w:val="15"/>
              </w:rPr>
              <w:t>3</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Dahlia Facilit</w:t>
            </w:r>
            <w:r>
              <w:rPr>
                <w:sz w:val="15"/>
                <w:szCs w:val="15"/>
              </w:rPr>
              <w:t>y</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Denver, Colorad</w:t>
            </w:r>
            <w:r>
              <w:rPr>
                <w:sz w:val="15"/>
                <w:szCs w:val="15"/>
              </w:rPr>
              <w:t>o</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6,78</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72</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30</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6,83</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98</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7,82</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32</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6</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Dallas Transitional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Hutchins, Texa</w:t>
            </w:r>
            <w:r>
              <w:rPr>
                <w:sz w:val="15"/>
                <w:szCs w:val="15"/>
              </w:rPr>
              <w:t>s</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3,85</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1,83</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5,68</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5,69</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2,29</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5</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Davis Correctional Facilit</w:t>
            </w:r>
            <w:r>
              <w:rPr>
                <w:sz w:val="15"/>
                <w:szCs w:val="15"/>
              </w:rPr>
              <w:t>y</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Holdenville, Oklahom</w:t>
            </w:r>
            <w:r>
              <w:rPr>
                <w:sz w:val="15"/>
                <w:szCs w:val="15"/>
              </w:rPr>
              <w:t>a</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25</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66,70</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46,85</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1,40</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112,40</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113,80</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46,92</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199</w:t>
            </w:r>
            <w:r>
              <w:rPr>
                <w:sz w:val="15"/>
                <w:szCs w:val="15"/>
              </w:rPr>
              <w:t>6</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Diamondback Correctional</w:t>
            </w:r>
            <w:r>
              <w:rPr>
                <w:sz w:val="15"/>
                <w:szCs w:val="15"/>
              </w:rPr>
              <w:br/>
              <w:t>   Facilit</w:t>
            </w:r>
            <w:r>
              <w:rPr>
                <w:sz w:val="15"/>
                <w:szCs w:val="15"/>
              </w:rPr>
              <w:t>y</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Watonga, Oklahom</w:t>
            </w:r>
            <w:r>
              <w:rPr>
                <w:sz w:val="15"/>
                <w:szCs w:val="15"/>
              </w:rPr>
              <w:t>a</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20</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41,67</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26,83</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1,36</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67,35</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68,72</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33,13</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199</w:t>
            </w:r>
            <w:r>
              <w:rPr>
                <w:sz w:val="15"/>
                <w:szCs w:val="15"/>
              </w:rPr>
              <w:t>8</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Eden Detention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Eden, Texa</w:t>
            </w:r>
            <w:r>
              <w:rPr>
                <w:sz w:val="15"/>
                <w:szCs w:val="15"/>
              </w:rPr>
              <w:t>s</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92</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27,64</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35,44</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5,55</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58,46</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64,01</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30,34</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199</w:t>
            </w:r>
            <w:r>
              <w:rPr>
                <w:sz w:val="15"/>
                <w:szCs w:val="15"/>
              </w:rPr>
              <w:t>5</w:t>
            </w:r>
          </w:p>
        </w:tc>
      </w:tr>
    </w:tbl>
    <w:p w:rsidR="00000000" w:rsidRDefault="006D723D">
      <w:pPr>
        <w:pStyle w:val="a3"/>
        <w:spacing w:before="0" w:beforeAutospacing="0" w:after="0" w:afterAutospacing="0"/>
        <w:divId w:val="2108846129"/>
        <w:rPr>
          <w:sz w:val="20"/>
          <w:szCs w:val="20"/>
        </w:rPr>
      </w:pPr>
      <w:r>
        <w:rPr>
          <w:sz w:val="10"/>
          <w:szCs w:val="10"/>
        </w:rPr>
        <w:t> </w:t>
      </w:r>
    </w:p>
    <w:p w:rsidR="00000000" w:rsidRDefault="006D723D">
      <w:pPr>
        <w:pStyle w:val="a3"/>
        <w:spacing w:before="0" w:beforeAutospacing="0" w:after="0" w:afterAutospacing="0"/>
        <w:divId w:val="2108846129"/>
        <w:rPr>
          <w:sz w:val="20"/>
          <w:szCs w:val="20"/>
        </w:rPr>
      </w:pPr>
      <w:r>
        <w:rPr>
          <w:sz w:val="10"/>
          <w:szCs w:val="10"/>
        </w:rPr>
        <w:t> </w:t>
      </w:r>
    </w:p>
    <w:p w:rsidR="00000000" w:rsidRDefault="006D723D">
      <w:pPr>
        <w:pStyle w:val="a3"/>
        <w:spacing w:before="0" w:beforeAutospacing="0" w:after="0" w:afterAutospacing="0"/>
        <w:divId w:val="2108846129"/>
        <w:rPr>
          <w:sz w:val="20"/>
          <w:szCs w:val="20"/>
        </w:rPr>
      </w:pPr>
      <w:r>
        <w:rPr>
          <w:sz w:val="10"/>
          <w:szCs w:val="10"/>
        </w:rPr>
        <w:t> </w:t>
      </w:r>
    </w:p>
    <w:p w:rsidR="00000000" w:rsidRDefault="006D723D">
      <w:pPr>
        <w:pStyle w:val="a3"/>
        <w:spacing w:before="0" w:beforeAutospacing="0" w:after="0" w:afterAutospacing="0"/>
        <w:divId w:val="2108846129"/>
        <w:rPr>
          <w:sz w:val="20"/>
          <w:szCs w:val="20"/>
        </w:rPr>
      </w:pPr>
      <w:r>
        <w:rPr>
          <w:sz w:val="10"/>
          <w:szCs w:val="10"/>
        </w:rPr>
        <w:t> </w:t>
      </w:r>
    </w:p>
    <w:p w:rsidR="00000000" w:rsidRDefault="006D723D">
      <w:pPr>
        <w:pStyle w:val="a3"/>
        <w:spacing w:before="0" w:beforeAutospacing="0" w:after="0" w:afterAutospacing="0"/>
        <w:divId w:val="2108846129"/>
        <w:rPr>
          <w:sz w:val="20"/>
          <w:szCs w:val="20"/>
        </w:rPr>
      </w:pPr>
      <w:r>
        <w:rPr>
          <w:sz w:val="10"/>
          <w:szCs w:val="10"/>
        </w:rPr>
        <w:t> </w:t>
      </w:r>
    </w:p>
    <w:p w:rsidR="00000000" w:rsidRDefault="006D723D">
      <w:pPr>
        <w:pStyle w:val="a3"/>
        <w:spacing w:before="0" w:beforeAutospacing="0" w:after="0" w:afterAutospacing="0"/>
        <w:divId w:val="2108846129"/>
        <w:rPr>
          <w:sz w:val="20"/>
          <w:szCs w:val="20"/>
        </w:rPr>
      </w:pPr>
      <w:r>
        <w:rPr>
          <w:sz w:val="10"/>
          <w:szCs w:val="10"/>
        </w:rPr>
        <w:t> </w:t>
      </w:r>
    </w:p>
    <w:p w:rsidR="00000000" w:rsidRDefault="006D723D">
      <w:pPr>
        <w:pStyle w:val="a3"/>
        <w:spacing w:before="0" w:beforeAutospacing="0" w:after="0" w:afterAutospacing="0"/>
        <w:divId w:val="2108846129"/>
        <w:rPr>
          <w:sz w:val="20"/>
          <w:szCs w:val="20"/>
        </w:rPr>
      </w:pPr>
      <w:r>
        <w:rPr>
          <w:sz w:val="10"/>
          <w:szCs w:val="10"/>
        </w:rPr>
        <w:t> </w:t>
      </w:r>
    </w:p>
    <w:p w:rsidR="00000000" w:rsidRDefault="006D723D">
      <w:pPr>
        <w:pStyle w:val="a3"/>
        <w:spacing w:before="0" w:beforeAutospacing="0" w:after="0" w:afterAutospacing="0"/>
        <w:divId w:val="2108846129"/>
        <w:rPr>
          <w:sz w:val="20"/>
          <w:szCs w:val="20"/>
        </w:rPr>
      </w:pPr>
      <w:r>
        <w:rPr>
          <w:sz w:val="10"/>
          <w:szCs w:val="10"/>
        </w:rPr>
        <w:t> </w:t>
      </w:r>
    </w:p>
    <w:p w:rsidR="00000000" w:rsidRDefault="006D723D">
      <w:pPr>
        <w:pStyle w:val="a3"/>
        <w:spacing w:before="0" w:beforeAutospacing="0" w:after="0" w:afterAutospacing="0"/>
        <w:divId w:val="2108846129"/>
        <w:rPr>
          <w:sz w:val="20"/>
          <w:szCs w:val="20"/>
        </w:rPr>
      </w:pPr>
      <w:r>
        <w:rPr>
          <w:sz w:val="10"/>
          <w:szCs w:val="10"/>
        </w:rPr>
        <w:t> </w:t>
      </w:r>
    </w:p>
    <w:p w:rsidR="00000000" w:rsidRDefault="006D723D">
      <w:pPr>
        <w:pStyle w:val="a3"/>
        <w:spacing w:before="0" w:beforeAutospacing="0" w:after="0" w:afterAutospacing="0"/>
        <w:divId w:val="2108846129"/>
        <w:rPr>
          <w:sz w:val="20"/>
          <w:szCs w:val="20"/>
        </w:rPr>
      </w:pPr>
      <w:r>
        <w:rPr>
          <w:sz w:val="10"/>
          <w:szCs w:val="10"/>
        </w:rPr>
        <w:t> </w:t>
      </w:r>
    </w:p>
    <w:p w:rsidR="00000000" w:rsidRDefault="006D723D">
      <w:pPr>
        <w:pStyle w:val="a3"/>
        <w:spacing w:before="0" w:beforeAutospacing="0" w:after="0" w:afterAutospacing="0"/>
        <w:divId w:val="2108846129"/>
        <w:rPr>
          <w:sz w:val="20"/>
          <w:szCs w:val="20"/>
        </w:rPr>
      </w:pPr>
      <w:r>
        <w:rPr>
          <w:sz w:val="10"/>
          <w:szCs w:val="10"/>
        </w:rPr>
        <w:t> </w:t>
      </w:r>
    </w:p>
    <w:p w:rsidR="00000000" w:rsidRDefault="006D723D">
      <w:pPr>
        <w:pStyle w:val="a3"/>
        <w:spacing w:before="0" w:beforeAutospacing="0" w:after="0" w:afterAutospacing="0"/>
        <w:divId w:val="2108846129"/>
        <w:rPr>
          <w:sz w:val="20"/>
          <w:szCs w:val="20"/>
        </w:rPr>
      </w:pPr>
      <w:r>
        <w:rPr>
          <w:sz w:val="20"/>
          <w:szCs w:val="20"/>
        </w:rPr>
        <w:t> </w:t>
      </w:r>
    </w:p>
    <w:p w:rsidR="00000000" w:rsidRDefault="006D723D">
      <w:pPr>
        <w:pStyle w:val="a3"/>
        <w:spacing w:before="0" w:beforeAutospacing="0" w:after="0" w:afterAutospacing="0"/>
        <w:jc w:val="center"/>
        <w:divId w:val="2108846129"/>
        <w:rPr>
          <w:sz w:val="20"/>
          <w:szCs w:val="20"/>
        </w:rPr>
      </w:pPr>
      <w:r>
        <w:rPr>
          <w:sz w:val="20"/>
          <w:szCs w:val="20"/>
        </w:rPr>
        <w:t>F</w:t>
      </w:r>
      <w:r>
        <w:rPr>
          <w:sz w:val="20"/>
          <w:szCs w:val="20"/>
        </w:rPr>
        <w:t>-</w:t>
      </w:r>
      <w:r>
        <w:rPr>
          <w:sz w:val="20"/>
          <w:szCs w:val="20"/>
        </w:rPr>
        <w:t>4</w:t>
      </w:r>
      <w:r>
        <w:rPr>
          <w:sz w:val="20"/>
          <w:szCs w:val="20"/>
        </w:rPr>
        <w:t>1</w:t>
      </w:r>
    </w:p>
    <w:p w:rsidR="00000000" w:rsidRDefault="006D723D">
      <w:pPr>
        <w:divId w:val="2108846129"/>
        <w:rPr>
          <w:rFonts w:eastAsia="Times New Roman"/>
          <w:sz w:val="20"/>
          <w:szCs w:val="20"/>
        </w:rPr>
      </w:pPr>
      <w:r>
        <w:rPr>
          <w:rFonts w:eastAsia="Times New Roman"/>
          <w:sz w:val="20"/>
          <w:szCs w:val="20"/>
        </w:rPr>
        <w:pict>
          <v:rect id="_x0000_i1169" style="width:0;height:1.5pt" o:hralign="center" o:hrstd="t" o:hr="t" fillcolor="#a0a0a0" stroked="f"/>
        </w:pict>
      </w:r>
    </w:p>
    <w:p w:rsidR="00000000" w:rsidRDefault="006D723D">
      <w:pPr>
        <w:pStyle w:val="a3"/>
        <w:spacing w:before="0" w:beforeAutospacing="0" w:after="0" w:afterAutospacing="0"/>
        <w:jc w:val="center"/>
        <w:divId w:val="2108846129"/>
        <w:rPr>
          <w:sz w:val="20"/>
          <w:szCs w:val="20"/>
        </w:rPr>
      </w:pPr>
      <w:r>
        <w:rPr>
          <w:b/>
          <w:bCs/>
          <w:sz w:val="20"/>
          <w:szCs w:val="20"/>
        </w:rPr>
        <w:t>CORECIVIC, INC. AND SUBSIDIARIE</w:t>
      </w:r>
      <w:r>
        <w:rPr>
          <w:b/>
          <w:bCs/>
          <w:sz w:val="20"/>
          <w:szCs w:val="20"/>
        </w:rPr>
        <w:t>S</w:t>
      </w:r>
    </w:p>
    <w:p w:rsidR="00000000" w:rsidRDefault="006D723D">
      <w:pPr>
        <w:pStyle w:val="a3"/>
        <w:spacing w:before="0" w:beforeAutospacing="0" w:after="0" w:afterAutospacing="0"/>
        <w:jc w:val="center"/>
        <w:divId w:val="2108846129"/>
        <w:rPr>
          <w:sz w:val="20"/>
          <w:szCs w:val="20"/>
        </w:rPr>
      </w:pPr>
      <w:r>
        <w:rPr>
          <w:b/>
          <w:bCs/>
          <w:sz w:val="20"/>
          <w:szCs w:val="20"/>
        </w:rPr>
        <w:t>SCHEDULE III - REAL ESTATE ASSETS AND ACCUMULATED DEPRECIATIO</w:t>
      </w:r>
      <w:r>
        <w:rPr>
          <w:b/>
          <w:bCs/>
          <w:sz w:val="20"/>
          <w:szCs w:val="20"/>
        </w:rPr>
        <w:t>N</w:t>
      </w:r>
    </w:p>
    <w:p w:rsidR="00000000" w:rsidRDefault="006D723D">
      <w:pPr>
        <w:pStyle w:val="a3"/>
        <w:spacing w:before="0" w:beforeAutospacing="0" w:after="0" w:afterAutospacing="0"/>
        <w:jc w:val="center"/>
        <w:divId w:val="2108846129"/>
        <w:rPr>
          <w:sz w:val="20"/>
          <w:szCs w:val="20"/>
        </w:rPr>
      </w:pPr>
      <w:r>
        <w:rPr>
          <w:b/>
          <w:bCs/>
          <w:sz w:val="20"/>
          <w:szCs w:val="20"/>
        </w:rPr>
        <w:t>DECEMBER 31, 202</w:t>
      </w:r>
      <w:r>
        <w:rPr>
          <w:b/>
          <w:bCs/>
          <w:sz w:val="20"/>
          <w:szCs w:val="20"/>
        </w:rPr>
        <w:t>2</w:t>
      </w:r>
    </w:p>
    <w:p w:rsidR="00000000" w:rsidRDefault="006D723D">
      <w:pPr>
        <w:pStyle w:val="a3"/>
        <w:spacing w:before="0" w:beforeAutospacing="0" w:after="0" w:afterAutospacing="0"/>
        <w:jc w:val="center"/>
        <w:divId w:val="2108846129"/>
        <w:rPr>
          <w:sz w:val="20"/>
          <w:szCs w:val="20"/>
        </w:rPr>
      </w:pPr>
      <w:r>
        <w:rPr>
          <w:b/>
          <w:bCs/>
          <w:sz w:val="20"/>
          <w:szCs w:val="20"/>
        </w:rPr>
        <w:t>(in thousands</w:t>
      </w:r>
      <w:r>
        <w:rPr>
          <w:b/>
          <w:bCs/>
          <w:sz w:val="20"/>
          <w:szCs w:val="20"/>
        </w:rPr>
        <w:t>)</w:t>
      </w:r>
    </w:p>
    <w:p w:rsidR="00000000" w:rsidRDefault="006D723D">
      <w:pPr>
        <w:pStyle w:val="a3"/>
        <w:spacing w:before="0" w:beforeAutospacing="0" w:after="0" w:afterAutospacing="0"/>
        <w:jc w:val="center"/>
        <w:divId w:val="2108846129"/>
        <w:rPr>
          <w:sz w:val="20"/>
          <w:szCs w:val="20"/>
        </w:rPr>
      </w:pPr>
      <w:r>
        <w:rPr>
          <w:sz w:val="10"/>
          <w:szCs w:val="10"/>
        </w:rPr>
        <w:t> </w:t>
      </w:r>
    </w:p>
    <w:p w:rsidR="00000000" w:rsidRDefault="006D723D">
      <w:pPr>
        <w:pStyle w:val="a3"/>
        <w:spacing w:before="0" w:beforeAutospacing="0" w:after="0" w:afterAutospacing="0"/>
        <w:divId w:val="2108846129"/>
        <w:rPr>
          <w:sz w:val="20"/>
          <w:szCs w:val="20"/>
        </w:rPr>
      </w:pPr>
      <w:r>
        <w:rPr>
          <w:sz w:val="10"/>
          <w:szCs w:val="10"/>
        </w:rPr>
        <w:t> </w:t>
      </w:r>
    </w:p>
    <w:p w:rsidR="00000000" w:rsidRDefault="006D723D">
      <w:pPr>
        <w:pStyle w:val="a3"/>
        <w:spacing w:before="0" w:beforeAutospacing="0" w:after="0" w:afterAutospacing="0"/>
        <w:divId w:val="2108846129"/>
        <w:rPr>
          <w:sz w:val="20"/>
          <w:szCs w:val="20"/>
        </w:rPr>
      </w:pPr>
      <w:r>
        <w:rPr>
          <w:sz w:val="10"/>
          <w:szCs w:val="10"/>
        </w:rPr>
        <w:t> </w:t>
      </w:r>
    </w:p>
    <w:p w:rsidR="00000000" w:rsidRDefault="006D723D">
      <w:pPr>
        <w:pStyle w:val="a3"/>
        <w:spacing w:before="0" w:beforeAutospacing="0" w:after="0" w:afterAutospacing="0"/>
        <w:divId w:val="2108846129"/>
        <w:rPr>
          <w:sz w:val="20"/>
          <w:szCs w:val="20"/>
        </w:rPr>
      </w:pPr>
      <w:r>
        <w:rPr>
          <w:sz w:val="10"/>
          <w:szCs w:val="10"/>
        </w:rPr>
        <w:t> </w:t>
      </w:r>
    </w:p>
    <w:p w:rsidR="00000000" w:rsidRDefault="006D723D">
      <w:pPr>
        <w:pStyle w:val="a3"/>
        <w:spacing w:before="0" w:beforeAutospacing="0" w:after="0" w:afterAutospacing="0"/>
        <w:divId w:val="2108846129"/>
        <w:rPr>
          <w:sz w:val="20"/>
          <w:szCs w:val="20"/>
        </w:rPr>
      </w:pPr>
      <w:r>
        <w:rPr>
          <w:sz w:val="10"/>
          <w:szCs w:val="10"/>
        </w:rPr>
        <w:t> </w:t>
      </w:r>
    </w:p>
    <w:p w:rsidR="00000000" w:rsidRDefault="006D723D">
      <w:pPr>
        <w:pStyle w:val="a3"/>
        <w:spacing w:before="0" w:beforeAutospacing="0" w:after="0" w:afterAutospacing="0"/>
        <w:divId w:val="2108846129"/>
        <w:rPr>
          <w:sz w:val="20"/>
          <w:szCs w:val="20"/>
        </w:rPr>
      </w:pPr>
      <w:r>
        <w:rPr>
          <w:sz w:val="10"/>
          <w:szCs w:val="1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8"/>
        <w:gridCol w:w="98"/>
        <w:gridCol w:w="889"/>
        <w:gridCol w:w="98"/>
        <w:gridCol w:w="98"/>
        <w:gridCol w:w="473"/>
        <w:gridCol w:w="98"/>
        <w:gridCol w:w="98"/>
        <w:gridCol w:w="195"/>
        <w:gridCol w:w="736"/>
        <w:gridCol w:w="98"/>
        <w:gridCol w:w="98"/>
        <w:gridCol w:w="161"/>
        <w:gridCol w:w="592"/>
        <w:gridCol w:w="98"/>
        <w:gridCol w:w="98"/>
        <w:gridCol w:w="197"/>
        <w:gridCol w:w="734"/>
        <w:gridCol w:w="98"/>
        <w:gridCol w:w="98"/>
        <w:gridCol w:w="193"/>
        <w:gridCol w:w="738"/>
        <w:gridCol w:w="98"/>
        <w:gridCol w:w="98"/>
        <w:gridCol w:w="98"/>
        <w:gridCol w:w="548"/>
        <w:gridCol w:w="98"/>
        <w:gridCol w:w="260"/>
        <w:gridCol w:w="165"/>
        <w:gridCol w:w="689"/>
        <w:gridCol w:w="110"/>
        <w:gridCol w:w="98"/>
        <w:gridCol w:w="853"/>
      </w:tblGrid>
      <w:tr w:rsidR="00000000">
        <w:trPr>
          <w:divId w:val="2108846129"/>
          <w:tblCellSpacing w:w="15" w:type="dxa"/>
        </w:trPr>
        <w:tc>
          <w:tcPr>
            <w:tcW w:w="1086" w:type="pct"/>
            <w:vAlign w:val="center"/>
            <w:hideMark/>
          </w:tcPr>
          <w:p w:rsidR="00000000" w:rsidRDefault="006D723D">
            <w:pPr>
              <w:rPr>
                <w:sz w:val="20"/>
                <w:szCs w:val="20"/>
              </w:rPr>
            </w:pPr>
          </w:p>
        </w:tc>
        <w:tc>
          <w:tcPr>
            <w:tcW w:w="30" w:type="pct"/>
            <w:vAlign w:val="center"/>
            <w:hideMark/>
          </w:tcPr>
          <w:p w:rsidR="00000000" w:rsidRDefault="006D723D">
            <w:pPr>
              <w:rPr>
                <w:rFonts w:eastAsia="Times New Roman"/>
                <w:sz w:val="20"/>
                <w:szCs w:val="20"/>
              </w:rPr>
            </w:pPr>
          </w:p>
        </w:tc>
        <w:tc>
          <w:tcPr>
            <w:tcW w:w="881" w:type="pct"/>
            <w:vAlign w:val="center"/>
            <w:hideMark/>
          </w:tcPr>
          <w:p w:rsidR="00000000" w:rsidRDefault="006D723D">
            <w:pPr>
              <w:rPr>
                <w:rFonts w:eastAsia="Times New Roman"/>
                <w:sz w:val="20"/>
                <w:szCs w:val="20"/>
              </w:rPr>
            </w:pPr>
          </w:p>
        </w:tc>
        <w:tc>
          <w:tcPr>
            <w:tcW w:w="30"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1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0"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15"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0"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15"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0"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1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0"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1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42"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10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4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0" w:type="pct"/>
            <w:vAlign w:val="center"/>
            <w:hideMark/>
          </w:tcPr>
          <w:p w:rsidR="00000000" w:rsidRDefault="006D723D">
            <w:pPr>
              <w:rPr>
                <w:rFonts w:eastAsia="Times New Roman"/>
                <w:sz w:val="20"/>
                <w:szCs w:val="20"/>
              </w:rPr>
            </w:pPr>
          </w:p>
        </w:tc>
        <w:tc>
          <w:tcPr>
            <w:tcW w:w="422" w:type="pct"/>
            <w:vAlign w:val="center"/>
            <w:hideMark/>
          </w:tcPr>
          <w:p w:rsidR="00000000" w:rsidRDefault="006D723D">
            <w:pPr>
              <w:rPr>
                <w:rFonts w:eastAsia="Times New Roman"/>
                <w:sz w:val="20"/>
                <w:szCs w:val="20"/>
              </w:rPr>
            </w:pPr>
          </w:p>
        </w:tc>
      </w:tr>
      <w:tr w:rsidR="00000000">
        <w:trPr>
          <w:divId w:val="2108846129"/>
          <w:trHeight w:val="140"/>
          <w:tblCellSpacing w:w="15" w:type="dxa"/>
        </w:trPr>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6"/>
            <w:vAlign w:val="bottom"/>
            <w:hideMark/>
          </w:tcPr>
          <w:p w:rsidR="00000000" w:rsidRDefault="006D723D">
            <w:pPr>
              <w:pStyle w:val="a3"/>
              <w:spacing w:before="0" w:beforeAutospacing="0" w:after="0" w:afterAutospacing="0"/>
              <w:jc w:val="center"/>
              <w:rPr>
                <w:sz w:val="14"/>
                <w:szCs w:val="14"/>
              </w:rPr>
            </w:pPr>
            <w:r>
              <w:rPr>
                <w:b/>
                <w:bCs/>
                <w:sz w:val="14"/>
                <w:szCs w:val="14"/>
              </w:rPr>
              <w:t>Initial Cost to</w:t>
            </w:r>
            <w:r>
              <w:rPr>
                <w:b/>
                <w:bCs/>
                <w:sz w:val="14"/>
                <w:szCs w:val="14"/>
              </w:rPr>
              <w:br/>
              <w:t>Compan</w:t>
            </w:r>
            <w:r>
              <w:rPr>
                <w:b/>
                <w:bCs/>
                <w:sz w:val="14"/>
                <w:szCs w:val="14"/>
              </w:rPr>
              <w:t>y</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10"/>
            <w:vAlign w:val="bottom"/>
            <w:hideMark/>
          </w:tcPr>
          <w:p w:rsidR="00000000" w:rsidRDefault="006D723D">
            <w:pPr>
              <w:pStyle w:val="a3"/>
              <w:spacing w:before="0" w:beforeAutospacing="0" w:after="0" w:afterAutospacing="0"/>
              <w:jc w:val="center"/>
              <w:rPr>
                <w:sz w:val="14"/>
                <w:szCs w:val="14"/>
              </w:rPr>
            </w:pPr>
            <w:r>
              <w:rPr>
                <w:b/>
                <w:bCs/>
                <w:sz w:val="14"/>
                <w:szCs w:val="14"/>
              </w:rPr>
              <w:t>Gross Amount at Which Carried at</w:t>
            </w:r>
            <w:r>
              <w:rPr>
                <w:b/>
                <w:bCs/>
                <w:sz w:val="14"/>
                <w:szCs w:val="14"/>
              </w:rPr>
              <w:br/>
              <w:t>Close of Perio</w:t>
            </w:r>
            <w:r>
              <w:rPr>
                <w:b/>
                <w:bCs/>
                <w:sz w:val="14"/>
                <w:szCs w:val="14"/>
              </w:rPr>
              <w:t>d</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r>
      <w:tr w:rsidR="00000000">
        <w:trPr>
          <w:divId w:val="2108846129"/>
          <w:trHeight w:val="140"/>
          <w:tblCellSpacing w:w="15" w:type="dxa"/>
        </w:trPr>
        <w:tc>
          <w:tcPr>
            <w:tcW w:w="0" w:type="auto"/>
            <w:vAlign w:val="bottom"/>
            <w:hideMark/>
          </w:tcPr>
          <w:p w:rsidR="00000000" w:rsidRDefault="006D723D">
            <w:pPr>
              <w:pStyle w:val="a3"/>
              <w:spacing w:before="0" w:beforeAutospacing="0" w:after="0" w:afterAutospacing="0"/>
              <w:rPr>
                <w:sz w:val="14"/>
                <w:szCs w:val="14"/>
              </w:rPr>
            </w:pPr>
            <w:r>
              <w:rPr>
                <w:b/>
                <w:bCs/>
                <w:sz w:val="14"/>
                <w:szCs w:val="14"/>
                <w:u w:val="single"/>
              </w:rPr>
              <w:t>Descriptio</w:t>
            </w:r>
            <w:r>
              <w:rPr>
                <w:b/>
                <w:bCs/>
                <w:sz w:val="14"/>
                <w:szCs w:val="14"/>
                <w:u w:val="single"/>
              </w:rPr>
              <w:t>n</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b/>
                <w:bCs/>
                <w:sz w:val="14"/>
                <w:szCs w:val="14"/>
              </w:rPr>
              <w:t>Locatio</w:t>
            </w:r>
            <w:r>
              <w:rPr>
                <w:b/>
                <w:bCs/>
                <w:sz w:val="14"/>
                <w:szCs w:val="14"/>
              </w:rPr>
              <w:t>n</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6D723D">
            <w:pPr>
              <w:pStyle w:val="a3"/>
              <w:spacing w:before="0" w:beforeAutospacing="0" w:after="0" w:afterAutospacing="0"/>
              <w:jc w:val="center"/>
              <w:rPr>
                <w:sz w:val="14"/>
                <w:szCs w:val="14"/>
              </w:rPr>
            </w:pPr>
            <w:r>
              <w:rPr>
                <w:b/>
                <w:bCs/>
                <w:sz w:val="14"/>
                <w:szCs w:val="14"/>
              </w:rPr>
              <w:t>Lan</w:t>
            </w:r>
            <w:r>
              <w:rPr>
                <w:b/>
                <w:bCs/>
                <w:sz w:val="14"/>
                <w:szCs w:val="14"/>
              </w:rPr>
              <w:t>d</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6D723D">
            <w:pPr>
              <w:pStyle w:val="a3"/>
              <w:spacing w:before="0" w:beforeAutospacing="0" w:after="0" w:afterAutospacing="0"/>
              <w:jc w:val="center"/>
              <w:rPr>
                <w:sz w:val="14"/>
                <w:szCs w:val="14"/>
              </w:rPr>
            </w:pPr>
            <w:r>
              <w:rPr>
                <w:b/>
                <w:bCs/>
                <w:sz w:val="14"/>
                <w:szCs w:val="14"/>
              </w:rPr>
              <w:t>Buildings and</w:t>
            </w:r>
            <w:r>
              <w:rPr>
                <w:b/>
                <w:bCs/>
                <w:sz w:val="14"/>
                <w:szCs w:val="14"/>
              </w:rPr>
              <w:br/>
              <w:t>Improvement</w:t>
            </w:r>
            <w:r>
              <w:rPr>
                <w:b/>
                <w:bCs/>
                <w:sz w:val="14"/>
                <w:szCs w:val="14"/>
              </w:rPr>
              <w:t>s</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6D723D">
            <w:pPr>
              <w:pStyle w:val="a3"/>
              <w:spacing w:before="0" w:beforeAutospacing="0" w:after="0" w:afterAutospacing="0"/>
              <w:jc w:val="center"/>
              <w:rPr>
                <w:sz w:val="14"/>
                <w:szCs w:val="14"/>
              </w:rPr>
            </w:pPr>
            <w:r>
              <w:rPr>
                <w:b/>
                <w:bCs/>
                <w:sz w:val="14"/>
                <w:szCs w:val="14"/>
              </w:rPr>
              <w:t>Cost Capitalized</w:t>
            </w:r>
            <w:r>
              <w:rPr>
                <w:b/>
                <w:bCs/>
                <w:sz w:val="14"/>
                <w:szCs w:val="14"/>
              </w:rPr>
              <w:br/>
              <w:t>Subsequent to</w:t>
            </w:r>
            <w:r>
              <w:rPr>
                <w:b/>
                <w:bCs/>
                <w:sz w:val="14"/>
                <w:szCs w:val="14"/>
              </w:rPr>
              <w:br/>
              <w:t>Acquisitio</w:t>
            </w:r>
            <w:r>
              <w:rPr>
                <w:b/>
                <w:bCs/>
                <w:sz w:val="14"/>
                <w:szCs w:val="14"/>
              </w:rPr>
              <w:t>n</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6D723D">
            <w:pPr>
              <w:pStyle w:val="a3"/>
              <w:spacing w:before="0" w:beforeAutospacing="0" w:after="0" w:afterAutospacing="0"/>
              <w:jc w:val="center"/>
              <w:rPr>
                <w:sz w:val="14"/>
                <w:szCs w:val="14"/>
              </w:rPr>
            </w:pPr>
            <w:r>
              <w:rPr>
                <w:b/>
                <w:bCs/>
                <w:sz w:val="14"/>
                <w:szCs w:val="14"/>
              </w:rPr>
              <w:t>Land and Land</w:t>
            </w:r>
            <w:r>
              <w:rPr>
                <w:b/>
                <w:bCs/>
                <w:sz w:val="14"/>
                <w:szCs w:val="14"/>
              </w:rPr>
              <w:br/>
              <w:t>Improvement</w:t>
            </w:r>
            <w:r>
              <w:rPr>
                <w:b/>
                <w:bCs/>
                <w:sz w:val="14"/>
                <w:szCs w:val="14"/>
              </w:rPr>
              <w:t>s</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6D723D">
            <w:pPr>
              <w:pStyle w:val="a3"/>
              <w:spacing w:before="0" w:beforeAutospacing="0" w:after="0" w:afterAutospacing="0"/>
              <w:jc w:val="center"/>
              <w:rPr>
                <w:sz w:val="14"/>
                <w:szCs w:val="14"/>
              </w:rPr>
            </w:pPr>
            <w:r>
              <w:rPr>
                <w:b/>
                <w:bCs/>
                <w:sz w:val="14"/>
                <w:szCs w:val="14"/>
              </w:rPr>
              <w:t>Buildings and</w:t>
            </w:r>
            <w:r>
              <w:rPr>
                <w:b/>
                <w:bCs/>
                <w:sz w:val="14"/>
                <w:szCs w:val="14"/>
              </w:rPr>
              <w:br/>
              <w:t>Leasehold</w:t>
            </w:r>
            <w:r>
              <w:rPr>
                <w:b/>
                <w:bCs/>
                <w:sz w:val="14"/>
                <w:szCs w:val="14"/>
              </w:rPr>
              <w:br/>
            </w:r>
            <w:r>
              <w:rPr>
                <w:b/>
                <w:bCs/>
                <w:sz w:val="14"/>
                <w:szCs w:val="14"/>
              </w:rPr>
              <w:t>Improvement</w:t>
            </w:r>
            <w:r>
              <w:rPr>
                <w:b/>
                <w:bCs/>
                <w:sz w:val="14"/>
                <w:szCs w:val="14"/>
              </w:rPr>
              <w:t>s</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6D723D">
            <w:pPr>
              <w:pStyle w:val="a3"/>
              <w:spacing w:before="0" w:beforeAutospacing="0" w:after="0" w:afterAutospacing="0"/>
              <w:jc w:val="center"/>
              <w:rPr>
                <w:sz w:val="14"/>
                <w:szCs w:val="14"/>
              </w:rPr>
            </w:pPr>
            <w:r>
              <w:rPr>
                <w:b/>
                <w:bCs/>
                <w:sz w:val="14"/>
                <w:szCs w:val="14"/>
              </w:rPr>
              <w:t>Total (A</w:t>
            </w:r>
            <w:r>
              <w:rPr>
                <w:b/>
                <w:bCs/>
                <w:sz w:val="14"/>
                <w:szCs w:val="14"/>
              </w:rPr>
              <w:t>)</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6D723D">
            <w:pPr>
              <w:pStyle w:val="a3"/>
              <w:spacing w:before="0" w:beforeAutospacing="0" w:after="0" w:afterAutospacing="0"/>
              <w:jc w:val="center"/>
              <w:rPr>
                <w:sz w:val="14"/>
                <w:szCs w:val="14"/>
              </w:rPr>
            </w:pPr>
            <w:r>
              <w:rPr>
                <w:b/>
                <w:bCs/>
                <w:sz w:val="14"/>
                <w:szCs w:val="14"/>
              </w:rPr>
              <w:t>Accumulated Depreciation (B</w:t>
            </w:r>
            <w:r>
              <w:rPr>
                <w:b/>
                <w:bCs/>
                <w:sz w:val="14"/>
                <w:szCs w:val="14"/>
              </w:rPr>
              <w:t>)</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b/>
                <w:bCs/>
                <w:sz w:val="14"/>
                <w:szCs w:val="14"/>
              </w:rPr>
              <w:t>Date</w:t>
            </w:r>
            <w:r>
              <w:rPr>
                <w:b/>
                <w:bCs/>
                <w:sz w:val="14"/>
                <w:szCs w:val="14"/>
              </w:rPr>
              <w:br/>
              <w:t>Constructed/</w:t>
            </w:r>
            <w:r>
              <w:rPr>
                <w:b/>
                <w:bCs/>
                <w:sz w:val="14"/>
                <w:szCs w:val="14"/>
              </w:rPr>
              <w:br/>
              <w:t>Acquire</w:t>
            </w:r>
            <w:r>
              <w:rPr>
                <w:b/>
                <w:bCs/>
                <w:sz w:val="14"/>
                <w:szCs w:val="14"/>
              </w:rPr>
              <w:t>d</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El Paso Multi-Use Facilit</w:t>
            </w:r>
            <w:r>
              <w:rPr>
                <w:sz w:val="15"/>
                <w:szCs w:val="15"/>
              </w:rPr>
              <w:t>y</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El Paso, Texa</w:t>
            </w:r>
            <w:r>
              <w:rPr>
                <w:sz w:val="15"/>
                <w:szCs w:val="15"/>
              </w:rPr>
              <w:t>s</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14,93</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4,53</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1,96</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14,97</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6,46</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21,43</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1,96</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5</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El Paso Transitional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El Paso, Texa</w:t>
            </w:r>
            <w:r>
              <w:rPr>
                <w:sz w:val="15"/>
                <w:szCs w:val="15"/>
              </w:rPr>
              <w:t>s</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10,32</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4,19</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92</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10,45</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4,99</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15,45</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1,52</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5</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Eloy Detention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Eloy, Arizon</w:t>
            </w:r>
            <w:r>
              <w:rPr>
                <w:sz w:val="15"/>
                <w:szCs w:val="15"/>
              </w:rPr>
              <w:t>a</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49</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33,30</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19,66</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2,32</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51,14</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53,46</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29,44</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199</w:t>
            </w:r>
            <w:r>
              <w:rPr>
                <w:sz w:val="15"/>
                <w:szCs w:val="15"/>
              </w:rPr>
              <w:t>5</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Fort Worth Transitional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Fort Worth, Texa</w:t>
            </w:r>
            <w:r>
              <w:rPr>
                <w:sz w:val="15"/>
                <w:szCs w:val="15"/>
              </w:rPr>
              <w:t>s</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3,25</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33</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39</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3,27</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70</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3,98</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60</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5</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Houston Processing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Houston, Texa</w:t>
            </w:r>
            <w:r>
              <w:rPr>
                <w:sz w:val="15"/>
                <w:szCs w:val="15"/>
              </w:rPr>
              <w:t>s</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2,25</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53,37</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42,64</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4,11</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94,15</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98,26</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47,49</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198</w:t>
            </w:r>
            <w:r>
              <w:rPr>
                <w:sz w:val="15"/>
                <w:szCs w:val="15"/>
              </w:rPr>
              <w:t>4</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Huerfano County Correctional</w:t>
            </w:r>
            <w:r>
              <w:rPr>
                <w:sz w:val="15"/>
                <w:szCs w:val="15"/>
              </w:rPr>
              <w:br/>
              <w:t>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Walsenburg, Colorad</w:t>
            </w:r>
            <w:r>
              <w:rPr>
                <w:sz w:val="15"/>
                <w:szCs w:val="15"/>
              </w:rPr>
              <w:t>o</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12</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26,35</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5,05</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1,11</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30,41</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31,53</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16,95</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199</w:t>
            </w:r>
            <w:r>
              <w:rPr>
                <w:sz w:val="15"/>
                <w:szCs w:val="15"/>
              </w:rPr>
              <w:t>7</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James River Residential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Newport News, Virgini</w:t>
            </w:r>
            <w:r>
              <w:rPr>
                <w:sz w:val="15"/>
                <w:szCs w:val="15"/>
              </w:rPr>
              <w:t>a</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80</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50</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9</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81</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58</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1,39</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5</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9</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Jenkins Correctional Center (D</w:t>
            </w: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Millen, Georgi</w:t>
            </w:r>
            <w:r>
              <w:rPr>
                <w:sz w:val="15"/>
                <w:szCs w:val="15"/>
              </w:rPr>
              <w:t>a</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2</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Kit Carson Correctional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Burlington, Colorad</w:t>
            </w:r>
            <w:r>
              <w:rPr>
                <w:sz w:val="15"/>
                <w:szCs w:val="15"/>
              </w:rPr>
              <w:t>o</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43</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35,97</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44,74</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1,05</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80,10</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81,15</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31,71</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199</w:t>
            </w:r>
            <w:r>
              <w:rPr>
                <w:sz w:val="15"/>
                <w:szCs w:val="15"/>
              </w:rPr>
              <w:t>8</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La Palma Correctional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Eloy, Arizon</w:t>
            </w:r>
            <w:r>
              <w:rPr>
                <w:sz w:val="15"/>
                <w:szCs w:val="15"/>
              </w:rPr>
              <w:t>a</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28</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183,15</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14,93</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48</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197,88</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198,37</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62,32</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200</w:t>
            </w:r>
            <w:r>
              <w:rPr>
                <w:sz w:val="15"/>
                <w:szCs w:val="15"/>
              </w:rPr>
              <w:t>8</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 xml:space="preserve">Lake Erie Correctional </w:t>
            </w:r>
            <w:r>
              <w:rPr>
                <w:sz w:val="15"/>
                <w:szCs w:val="15"/>
              </w:rPr>
              <w:br/>
              <w:t>   Institutio</w:t>
            </w:r>
            <w:r>
              <w:rPr>
                <w:sz w:val="15"/>
                <w:szCs w:val="15"/>
              </w:rPr>
              <w:t>n</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Conneaut, Ohi</w:t>
            </w:r>
            <w:r>
              <w:rPr>
                <w:sz w:val="15"/>
                <w:szCs w:val="15"/>
              </w:rPr>
              <w:t>o</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2,87</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69,77</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7,49</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4,28</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75,86</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80,14</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19,75</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1</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Laredo Processing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Laredo, Texa</w:t>
            </w:r>
            <w:r>
              <w:rPr>
                <w:sz w:val="15"/>
                <w:szCs w:val="15"/>
              </w:rPr>
              <w:t>s</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78</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26,73</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3,93</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98</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30,46</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31,45</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15,51</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198</w:t>
            </w:r>
            <w:r>
              <w:rPr>
                <w:sz w:val="15"/>
                <w:szCs w:val="15"/>
              </w:rPr>
              <w:t>5</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Lee Adjustment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Beattyville, Kentuck</w:t>
            </w:r>
            <w:r>
              <w:rPr>
                <w:sz w:val="15"/>
                <w:szCs w:val="15"/>
              </w:rPr>
              <w:t>y</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50</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51</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18,92</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1,28</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18,65</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19,93</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10,26</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199</w:t>
            </w:r>
            <w:r>
              <w:rPr>
                <w:sz w:val="15"/>
                <w:szCs w:val="15"/>
              </w:rPr>
              <w:t>8</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 xml:space="preserve">Leo Chesney Correctional </w:t>
            </w:r>
            <w:r>
              <w:rPr>
                <w:sz w:val="15"/>
                <w:szCs w:val="15"/>
              </w:rPr>
              <w:br/>
              <w:t>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Live Oak, Californi</w:t>
            </w:r>
            <w:r>
              <w:rPr>
                <w:sz w:val="15"/>
                <w:szCs w:val="15"/>
              </w:rPr>
              <w:t>a</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25</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4,77</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1,86</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26</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6,62</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6,88</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3,91</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198</w:t>
            </w:r>
            <w:r>
              <w:rPr>
                <w:sz w:val="15"/>
                <w:szCs w:val="15"/>
              </w:rPr>
              <w:t>9</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Longmont Community</w:t>
            </w:r>
            <w:r>
              <w:rPr>
                <w:sz w:val="15"/>
                <w:szCs w:val="15"/>
              </w:rPr>
              <w:br/>
              <w:t>   Treatment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Longmont, Colorad</w:t>
            </w:r>
            <w:r>
              <w:rPr>
                <w:sz w:val="15"/>
                <w:szCs w:val="15"/>
              </w:rPr>
              <w:t>o</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3,36</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58</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22</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3,36</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80</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4,16</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20</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6</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Marion Adjustment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St Mary, Kentuck</w:t>
            </w:r>
            <w:r>
              <w:rPr>
                <w:sz w:val="15"/>
                <w:szCs w:val="15"/>
              </w:rPr>
              <w:t>y</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25</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9,99</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9,01</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92</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18,33</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19,25</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8,92</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199</w:t>
            </w:r>
            <w:r>
              <w:rPr>
                <w:sz w:val="15"/>
                <w:szCs w:val="15"/>
              </w:rPr>
              <w:t>8</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Midwest Regional Reception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Leavenworth, Kansa</w:t>
            </w:r>
            <w:r>
              <w:rPr>
                <w:sz w:val="15"/>
                <w:szCs w:val="15"/>
              </w:rPr>
              <w:t>s</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13</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44,97</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46,09</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1,08</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90,11</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91,19</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39,25</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199</w:t>
            </w:r>
            <w:r>
              <w:rPr>
                <w:sz w:val="15"/>
                <w:szCs w:val="15"/>
              </w:rPr>
              <w:t>2</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Mineral Wells Pre-Parole</w:t>
            </w:r>
            <w:r>
              <w:rPr>
                <w:sz w:val="15"/>
                <w:szCs w:val="15"/>
              </w:rPr>
              <w:br/>
              <w:t>   Transfer Facilit</w:t>
            </w:r>
            <w:r>
              <w:rPr>
                <w:sz w:val="15"/>
                <w:szCs w:val="15"/>
              </w:rPr>
              <w:t>y</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Mineral Wells, Texa</w:t>
            </w:r>
            <w:r>
              <w:rPr>
                <w:sz w:val="15"/>
                <w:szCs w:val="15"/>
              </w:rPr>
              <w:t>s</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17</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22,58</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10</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10</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15"/>
                <w:szCs w:val="15"/>
              </w:rPr>
            </w:pPr>
            <w:r>
              <w:rPr>
                <w:b/>
                <w:bCs/>
                <w:sz w:val="15"/>
                <w:szCs w:val="15"/>
              </w:rPr>
              <w:t>(E</w:t>
            </w:r>
            <w:r>
              <w:rPr>
                <w:b/>
                <w:bCs/>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199</w:t>
            </w:r>
            <w:r>
              <w:rPr>
                <w:sz w:val="15"/>
                <w:szCs w:val="15"/>
              </w:rPr>
              <w:t>5</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Nevada Southern Detention</w:t>
            </w:r>
            <w:r>
              <w:rPr>
                <w:sz w:val="15"/>
                <w:szCs w:val="15"/>
              </w:rPr>
              <w:br/>
              <w:t>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Pahrump, Nevad</w:t>
            </w:r>
            <w:r>
              <w:rPr>
                <w:sz w:val="15"/>
                <w:szCs w:val="15"/>
              </w:rPr>
              <w:t>a</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7,54</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64,36</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11,12</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8,45</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74,57</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83,03</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22,43</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0</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 xml:space="preserve">North Fork Correctional </w:t>
            </w:r>
            <w:r>
              <w:rPr>
                <w:sz w:val="15"/>
                <w:szCs w:val="15"/>
              </w:rPr>
              <w:br/>
              <w:t>   Facilit</w:t>
            </w:r>
            <w:r>
              <w:rPr>
                <w:sz w:val="15"/>
                <w:szCs w:val="15"/>
              </w:rPr>
              <w:t>y</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Sayre, Oklahom</w:t>
            </w:r>
            <w:r>
              <w:rPr>
                <w:sz w:val="15"/>
                <w:szCs w:val="15"/>
              </w:rPr>
              <w:t>a</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42,16</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64,99</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69</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106,46</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107,15</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44,42</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199</w:t>
            </w:r>
            <w:r>
              <w:rPr>
                <w:sz w:val="15"/>
                <w:szCs w:val="15"/>
              </w:rPr>
              <w:t>8</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Northeast Ohio Correctional</w:t>
            </w:r>
            <w:r>
              <w:rPr>
                <w:sz w:val="15"/>
                <w:szCs w:val="15"/>
              </w:rPr>
              <w:br/>
              <w:t>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Youngstown, Ohi</w:t>
            </w:r>
            <w:r>
              <w:rPr>
                <w:sz w:val="15"/>
                <w:szCs w:val="15"/>
              </w:rPr>
              <w:t>o</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75</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39,58</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15,64</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2,21</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53,75</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55,97</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28,08</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199</w:t>
            </w:r>
            <w:r>
              <w:rPr>
                <w:sz w:val="15"/>
                <w:szCs w:val="15"/>
              </w:rPr>
              <w:t>7</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Northwest New Mexico</w:t>
            </w:r>
            <w:r>
              <w:rPr>
                <w:sz w:val="15"/>
                <w:szCs w:val="15"/>
              </w:rPr>
              <w:br/>
              <w:t>   </w:t>
            </w:r>
            <w:r>
              <w:rPr>
                <w:sz w:val="15"/>
                <w:szCs w:val="15"/>
              </w:rPr>
              <w:t>Correctional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Grants, New Mexic</w:t>
            </w:r>
            <w:r>
              <w:rPr>
                <w:sz w:val="15"/>
                <w:szCs w:val="15"/>
              </w:rPr>
              <w:t>o</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14</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15,88</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21,52</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1,22</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36,32</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37,55</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20,20</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198</w:t>
            </w:r>
            <w:r>
              <w:rPr>
                <w:sz w:val="15"/>
                <w:szCs w:val="15"/>
              </w:rPr>
              <w:t>9</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Oklahoma Reentry Opportunity</w:t>
            </w:r>
            <w:r>
              <w:rPr>
                <w:sz w:val="15"/>
                <w:szCs w:val="15"/>
              </w:rPr>
              <w:br/>
              <w:t>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Oklahoma City, Oklahom</w:t>
            </w:r>
            <w:r>
              <w:rPr>
                <w:sz w:val="15"/>
                <w:szCs w:val="15"/>
              </w:rPr>
              <w:t>a</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8,56</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4,63</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1,53</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8,59</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6,12</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14,72</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1,87</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5</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Otay Mesa Detention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San Diego, Californi</w:t>
            </w:r>
            <w:r>
              <w:rPr>
                <w:sz w:val="15"/>
                <w:szCs w:val="15"/>
              </w:rPr>
              <w:t>a</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28,84</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114,41</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47,81</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37,10</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153,97</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191,07</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21,54</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5</w:t>
            </w:r>
            <w:r>
              <w:rPr>
                <w:sz w:val="15"/>
                <w:szCs w:val="15"/>
              </w:rPr>
              <w:t>/</w:t>
            </w:r>
            <w:r>
              <w:rPr>
                <w:sz w:val="15"/>
                <w:szCs w:val="15"/>
              </w:rPr>
              <w:t>201</w:t>
            </w:r>
            <w:r>
              <w:rPr>
                <w:sz w:val="15"/>
                <w:szCs w:val="15"/>
              </w:rPr>
              <w:t>9</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Prairie Correctional Facilit</w:t>
            </w:r>
            <w:r>
              <w:rPr>
                <w:sz w:val="15"/>
                <w:szCs w:val="15"/>
              </w:rPr>
              <w:t>y</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Appleton, Minnesot</w:t>
            </w:r>
            <w:r>
              <w:rPr>
                <w:sz w:val="15"/>
                <w:szCs w:val="15"/>
              </w:rPr>
              <w:t>a</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10</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22,30</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11,79</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1,06</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33,13</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34,20</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20,04</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199</w:t>
            </w:r>
            <w:r>
              <w:rPr>
                <w:sz w:val="15"/>
                <w:szCs w:val="15"/>
              </w:rPr>
              <w:t>1</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Recovery Monitoring Solution</w:t>
            </w:r>
            <w:r>
              <w:rPr>
                <w:sz w:val="15"/>
                <w:szCs w:val="15"/>
              </w:rPr>
              <w:t>s</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Dallas, Texa</w:t>
            </w:r>
            <w:r>
              <w:rPr>
                <w:sz w:val="15"/>
                <w:szCs w:val="15"/>
              </w:rPr>
              <w:t>s</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1,15</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1,97</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89</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1,28</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2,74</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4,02</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60</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8</w:t>
            </w:r>
          </w:p>
        </w:tc>
      </w:tr>
    </w:tbl>
    <w:p w:rsidR="00000000" w:rsidRDefault="006D723D">
      <w:pPr>
        <w:pStyle w:val="a3"/>
        <w:spacing w:before="0" w:beforeAutospacing="0" w:after="0" w:afterAutospacing="0"/>
        <w:divId w:val="2108846129"/>
        <w:rPr>
          <w:sz w:val="20"/>
          <w:szCs w:val="20"/>
        </w:rPr>
      </w:pPr>
      <w:r>
        <w:rPr>
          <w:sz w:val="20"/>
          <w:szCs w:val="20"/>
        </w:rPr>
        <w:t> </w:t>
      </w:r>
    </w:p>
    <w:p w:rsidR="00000000" w:rsidRDefault="006D723D">
      <w:pPr>
        <w:pStyle w:val="a3"/>
        <w:spacing w:before="0" w:beforeAutospacing="0" w:after="0" w:afterAutospacing="0"/>
        <w:jc w:val="center"/>
        <w:divId w:val="2108846129"/>
        <w:rPr>
          <w:sz w:val="20"/>
          <w:szCs w:val="20"/>
        </w:rPr>
      </w:pPr>
      <w:r>
        <w:rPr>
          <w:sz w:val="20"/>
          <w:szCs w:val="20"/>
        </w:rPr>
        <w:t>F</w:t>
      </w:r>
      <w:r>
        <w:rPr>
          <w:sz w:val="20"/>
          <w:szCs w:val="20"/>
        </w:rPr>
        <w:t>-</w:t>
      </w:r>
      <w:r>
        <w:rPr>
          <w:sz w:val="20"/>
          <w:szCs w:val="20"/>
        </w:rPr>
        <w:t>4</w:t>
      </w:r>
      <w:r>
        <w:rPr>
          <w:sz w:val="20"/>
          <w:szCs w:val="20"/>
        </w:rPr>
        <w:t>2</w:t>
      </w:r>
    </w:p>
    <w:p w:rsidR="00000000" w:rsidRDefault="006D723D">
      <w:pPr>
        <w:divId w:val="2108846129"/>
        <w:rPr>
          <w:rFonts w:eastAsia="Times New Roman"/>
          <w:sz w:val="20"/>
          <w:szCs w:val="20"/>
        </w:rPr>
      </w:pPr>
      <w:r>
        <w:rPr>
          <w:rFonts w:eastAsia="Times New Roman"/>
          <w:sz w:val="20"/>
          <w:szCs w:val="20"/>
        </w:rPr>
        <w:pict>
          <v:rect id="_x0000_i1170" style="width:0;height:1.5pt" o:hralign="center" o:hrstd="t" o:hr="t" fillcolor="#a0a0a0" stroked="f"/>
        </w:pict>
      </w:r>
    </w:p>
    <w:p w:rsidR="00000000" w:rsidRDefault="006D723D">
      <w:pPr>
        <w:pStyle w:val="a3"/>
        <w:spacing w:before="0" w:beforeAutospacing="0" w:after="0" w:afterAutospacing="0"/>
        <w:jc w:val="center"/>
        <w:divId w:val="2108846129"/>
        <w:rPr>
          <w:sz w:val="20"/>
          <w:szCs w:val="20"/>
        </w:rPr>
      </w:pPr>
      <w:r>
        <w:rPr>
          <w:b/>
          <w:bCs/>
          <w:sz w:val="20"/>
          <w:szCs w:val="20"/>
        </w:rPr>
        <w:t>CORECIVIC, INC. AND SUBSIDIARIE</w:t>
      </w:r>
      <w:r>
        <w:rPr>
          <w:b/>
          <w:bCs/>
          <w:sz w:val="20"/>
          <w:szCs w:val="20"/>
        </w:rPr>
        <w:t>S</w:t>
      </w:r>
    </w:p>
    <w:p w:rsidR="00000000" w:rsidRDefault="006D723D">
      <w:pPr>
        <w:pStyle w:val="a3"/>
        <w:spacing w:before="0" w:beforeAutospacing="0" w:after="0" w:afterAutospacing="0"/>
        <w:jc w:val="center"/>
        <w:divId w:val="2108846129"/>
        <w:rPr>
          <w:sz w:val="20"/>
          <w:szCs w:val="20"/>
        </w:rPr>
      </w:pPr>
      <w:r>
        <w:rPr>
          <w:b/>
          <w:bCs/>
          <w:sz w:val="20"/>
          <w:szCs w:val="20"/>
        </w:rPr>
        <w:t>SCHEDULE III - REAL ESTATE ASSETS AND ACCUMULATED DEPRECIATIO</w:t>
      </w:r>
      <w:r>
        <w:rPr>
          <w:b/>
          <w:bCs/>
          <w:sz w:val="20"/>
          <w:szCs w:val="20"/>
        </w:rPr>
        <w:t>N</w:t>
      </w:r>
    </w:p>
    <w:p w:rsidR="00000000" w:rsidRDefault="006D723D">
      <w:pPr>
        <w:pStyle w:val="a3"/>
        <w:spacing w:before="0" w:beforeAutospacing="0" w:after="0" w:afterAutospacing="0"/>
        <w:jc w:val="center"/>
        <w:divId w:val="2108846129"/>
        <w:rPr>
          <w:sz w:val="20"/>
          <w:szCs w:val="20"/>
        </w:rPr>
      </w:pPr>
      <w:r>
        <w:rPr>
          <w:b/>
          <w:bCs/>
          <w:sz w:val="20"/>
          <w:szCs w:val="20"/>
        </w:rPr>
        <w:t>DECEMBER 31, 202</w:t>
      </w:r>
      <w:r>
        <w:rPr>
          <w:b/>
          <w:bCs/>
          <w:sz w:val="20"/>
          <w:szCs w:val="20"/>
        </w:rPr>
        <w:t>2</w:t>
      </w:r>
    </w:p>
    <w:p w:rsidR="00000000" w:rsidRDefault="006D723D">
      <w:pPr>
        <w:pStyle w:val="a3"/>
        <w:spacing w:before="0" w:beforeAutospacing="0" w:after="0" w:afterAutospacing="0"/>
        <w:jc w:val="center"/>
        <w:divId w:val="2108846129"/>
        <w:rPr>
          <w:sz w:val="20"/>
          <w:szCs w:val="20"/>
        </w:rPr>
      </w:pPr>
      <w:r>
        <w:rPr>
          <w:b/>
          <w:bCs/>
          <w:sz w:val="20"/>
          <w:szCs w:val="20"/>
        </w:rPr>
        <w:t>(in thousands</w:t>
      </w:r>
      <w:r>
        <w:rPr>
          <w:b/>
          <w:bCs/>
          <w:sz w:val="20"/>
          <w:szCs w:val="20"/>
        </w:rPr>
        <w:t>)</w:t>
      </w:r>
    </w:p>
    <w:p w:rsidR="00000000" w:rsidRDefault="006D723D">
      <w:pPr>
        <w:pStyle w:val="a3"/>
        <w:spacing w:before="0" w:beforeAutospacing="0" w:after="0" w:afterAutospacing="0"/>
        <w:jc w:val="center"/>
        <w:divId w:val="2108846129"/>
        <w:rPr>
          <w:sz w:val="20"/>
          <w:szCs w:val="20"/>
        </w:rPr>
      </w:pPr>
      <w:r>
        <w:rPr>
          <w:sz w:val="10"/>
          <w:szCs w:val="10"/>
        </w:rPr>
        <w:t> </w:t>
      </w:r>
    </w:p>
    <w:p w:rsidR="00000000" w:rsidRDefault="006D723D">
      <w:pPr>
        <w:pStyle w:val="a3"/>
        <w:spacing w:before="0" w:beforeAutospacing="0" w:after="0" w:afterAutospacing="0"/>
        <w:divId w:val="2108846129"/>
        <w:rPr>
          <w:sz w:val="20"/>
          <w:szCs w:val="20"/>
        </w:rPr>
      </w:pPr>
      <w:r>
        <w:rPr>
          <w:sz w:val="10"/>
          <w:szCs w:val="1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8"/>
        <w:gridCol w:w="98"/>
        <w:gridCol w:w="881"/>
        <w:gridCol w:w="98"/>
        <w:gridCol w:w="135"/>
        <w:gridCol w:w="548"/>
        <w:gridCol w:w="98"/>
        <w:gridCol w:w="98"/>
        <w:gridCol w:w="165"/>
        <w:gridCol w:w="766"/>
        <w:gridCol w:w="98"/>
        <w:gridCol w:w="98"/>
        <w:gridCol w:w="135"/>
        <w:gridCol w:w="660"/>
        <w:gridCol w:w="98"/>
        <w:gridCol w:w="98"/>
        <w:gridCol w:w="182"/>
        <w:gridCol w:w="749"/>
        <w:gridCol w:w="98"/>
        <w:gridCol w:w="98"/>
        <w:gridCol w:w="156"/>
        <w:gridCol w:w="775"/>
        <w:gridCol w:w="98"/>
        <w:gridCol w:w="98"/>
        <w:gridCol w:w="135"/>
        <w:gridCol w:w="660"/>
        <w:gridCol w:w="98"/>
        <w:gridCol w:w="260"/>
        <w:gridCol w:w="137"/>
        <w:gridCol w:w="717"/>
        <w:gridCol w:w="110"/>
        <w:gridCol w:w="98"/>
        <w:gridCol w:w="853"/>
      </w:tblGrid>
      <w:tr w:rsidR="00000000">
        <w:trPr>
          <w:divId w:val="2108846129"/>
          <w:tblCellSpacing w:w="15" w:type="dxa"/>
        </w:trPr>
        <w:tc>
          <w:tcPr>
            <w:tcW w:w="968" w:type="pct"/>
            <w:vAlign w:val="center"/>
            <w:hideMark/>
          </w:tcPr>
          <w:p w:rsidR="00000000" w:rsidRDefault="006D723D">
            <w:pPr>
              <w:rPr>
                <w:sz w:val="20"/>
                <w:szCs w:val="20"/>
              </w:rPr>
            </w:pPr>
          </w:p>
        </w:tc>
        <w:tc>
          <w:tcPr>
            <w:tcW w:w="3" w:type="pct"/>
            <w:vAlign w:val="center"/>
            <w:hideMark/>
          </w:tcPr>
          <w:p w:rsidR="00000000" w:rsidRDefault="006D723D">
            <w:pPr>
              <w:rPr>
                <w:rFonts w:eastAsia="Times New Roman"/>
                <w:sz w:val="20"/>
                <w:szCs w:val="20"/>
              </w:rPr>
            </w:pPr>
          </w:p>
        </w:tc>
        <w:tc>
          <w:tcPr>
            <w:tcW w:w="864"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37"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7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7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37"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97"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27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10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24"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3" w:type="pct"/>
            <w:vAlign w:val="center"/>
            <w:hideMark/>
          </w:tcPr>
          <w:p w:rsidR="00000000" w:rsidRDefault="006D723D">
            <w:pPr>
              <w:rPr>
                <w:rFonts w:eastAsia="Times New Roman"/>
                <w:sz w:val="20"/>
                <w:szCs w:val="20"/>
              </w:rPr>
            </w:pPr>
          </w:p>
        </w:tc>
        <w:tc>
          <w:tcPr>
            <w:tcW w:w="413" w:type="pct"/>
            <w:vAlign w:val="center"/>
            <w:hideMark/>
          </w:tcPr>
          <w:p w:rsidR="00000000" w:rsidRDefault="006D723D">
            <w:pPr>
              <w:rPr>
                <w:rFonts w:eastAsia="Times New Roman"/>
                <w:sz w:val="20"/>
                <w:szCs w:val="20"/>
              </w:rPr>
            </w:pPr>
          </w:p>
        </w:tc>
      </w:tr>
      <w:tr w:rsidR="00000000">
        <w:trPr>
          <w:divId w:val="2108846129"/>
          <w:trHeight w:val="140"/>
          <w:tblCellSpacing w:w="15" w:type="dxa"/>
        </w:trPr>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6"/>
            <w:vAlign w:val="bottom"/>
            <w:hideMark/>
          </w:tcPr>
          <w:p w:rsidR="00000000" w:rsidRDefault="006D723D">
            <w:pPr>
              <w:pStyle w:val="a3"/>
              <w:spacing w:before="0" w:beforeAutospacing="0" w:after="0" w:afterAutospacing="0"/>
              <w:jc w:val="center"/>
              <w:rPr>
                <w:sz w:val="14"/>
                <w:szCs w:val="14"/>
              </w:rPr>
            </w:pPr>
            <w:r>
              <w:rPr>
                <w:b/>
                <w:bCs/>
                <w:sz w:val="14"/>
                <w:szCs w:val="14"/>
              </w:rPr>
              <w:t>Initial Cost to</w:t>
            </w:r>
            <w:r>
              <w:rPr>
                <w:b/>
                <w:bCs/>
                <w:sz w:val="14"/>
                <w:szCs w:val="14"/>
              </w:rPr>
              <w:br/>
              <w:t>Compan</w:t>
            </w:r>
            <w:r>
              <w:rPr>
                <w:b/>
                <w:bCs/>
                <w:sz w:val="14"/>
                <w:szCs w:val="14"/>
              </w:rPr>
              <w:t>y</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10"/>
            <w:vAlign w:val="bottom"/>
            <w:hideMark/>
          </w:tcPr>
          <w:p w:rsidR="00000000" w:rsidRDefault="006D723D">
            <w:pPr>
              <w:pStyle w:val="a3"/>
              <w:spacing w:before="0" w:beforeAutospacing="0" w:after="0" w:afterAutospacing="0"/>
              <w:jc w:val="center"/>
              <w:rPr>
                <w:sz w:val="14"/>
                <w:szCs w:val="14"/>
              </w:rPr>
            </w:pPr>
            <w:r>
              <w:rPr>
                <w:b/>
                <w:bCs/>
                <w:sz w:val="14"/>
                <w:szCs w:val="14"/>
              </w:rPr>
              <w:t>Gross Amount at Which Carried at</w:t>
            </w:r>
            <w:r>
              <w:rPr>
                <w:b/>
                <w:bCs/>
                <w:sz w:val="14"/>
                <w:szCs w:val="14"/>
              </w:rPr>
              <w:br/>
              <w:t>Close of Perio</w:t>
            </w:r>
            <w:r>
              <w:rPr>
                <w:b/>
                <w:bCs/>
                <w:sz w:val="14"/>
                <w:szCs w:val="14"/>
              </w:rPr>
              <w:t>d</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r>
      <w:tr w:rsidR="00000000">
        <w:trPr>
          <w:divId w:val="2108846129"/>
          <w:trHeight w:val="140"/>
          <w:tblCellSpacing w:w="15" w:type="dxa"/>
        </w:trPr>
        <w:tc>
          <w:tcPr>
            <w:tcW w:w="0" w:type="auto"/>
            <w:vAlign w:val="bottom"/>
            <w:hideMark/>
          </w:tcPr>
          <w:p w:rsidR="00000000" w:rsidRDefault="006D723D">
            <w:pPr>
              <w:pStyle w:val="a3"/>
              <w:spacing w:before="0" w:beforeAutospacing="0" w:after="0" w:afterAutospacing="0"/>
              <w:rPr>
                <w:sz w:val="14"/>
                <w:szCs w:val="14"/>
              </w:rPr>
            </w:pPr>
            <w:r>
              <w:rPr>
                <w:b/>
                <w:bCs/>
                <w:sz w:val="14"/>
                <w:szCs w:val="14"/>
                <w:u w:val="single"/>
              </w:rPr>
              <w:t>Descriptio</w:t>
            </w:r>
            <w:r>
              <w:rPr>
                <w:b/>
                <w:bCs/>
                <w:sz w:val="14"/>
                <w:szCs w:val="14"/>
                <w:u w:val="single"/>
              </w:rPr>
              <w:t>n</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b/>
                <w:bCs/>
                <w:sz w:val="14"/>
                <w:szCs w:val="14"/>
              </w:rPr>
              <w:t>Locatio</w:t>
            </w:r>
            <w:r>
              <w:rPr>
                <w:b/>
                <w:bCs/>
                <w:sz w:val="14"/>
                <w:szCs w:val="14"/>
              </w:rPr>
              <w:t>n</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6D723D">
            <w:pPr>
              <w:pStyle w:val="a3"/>
              <w:spacing w:before="0" w:beforeAutospacing="0" w:after="0" w:afterAutospacing="0"/>
              <w:jc w:val="center"/>
              <w:rPr>
                <w:sz w:val="14"/>
                <w:szCs w:val="14"/>
              </w:rPr>
            </w:pPr>
            <w:r>
              <w:rPr>
                <w:b/>
                <w:bCs/>
                <w:sz w:val="14"/>
                <w:szCs w:val="14"/>
              </w:rPr>
              <w:t>Lan</w:t>
            </w:r>
            <w:r>
              <w:rPr>
                <w:b/>
                <w:bCs/>
                <w:sz w:val="14"/>
                <w:szCs w:val="14"/>
              </w:rPr>
              <w:t>d</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6D723D">
            <w:pPr>
              <w:pStyle w:val="a3"/>
              <w:spacing w:before="0" w:beforeAutospacing="0" w:after="0" w:afterAutospacing="0"/>
              <w:jc w:val="center"/>
              <w:rPr>
                <w:sz w:val="14"/>
                <w:szCs w:val="14"/>
              </w:rPr>
            </w:pPr>
            <w:r>
              <w:rPr>
                <w:b/>
                <w:bCs/>
                <w:sz w:val="14"/>
                <w:szCs w:val="14"/>
              </w:rPr>
              <w:t>Buildings and</w:t>
            </w:r>
            <w:r>
              <w:rPr>
                <w:b/>
                <w:bCs/>
                <w:sz w:val="14"/>
                <w:szCs w:val="14"/>
              </w:rPr>
              <w:br/>
              <w:t>Improvement</w:t>
            </w:r>
            <w:r>
              <w:rPr>
                <w:b/>
                <w:bCs/>
                <w:sz w:val="14"/>
                <w:szCs w:val="14"/>
              </w:rPr>
              <w:t>s</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6D723D">
            <w:pPr>
              <w:pStyle w:val="a3"/>
              <w:spacing w:before="0" w:beforeAutospacing="0" w:after="0" w:afterAutospacing="0"/>
              <w:jc w:val="center"/>
              <w:rPr>
                <w:sz w:val="14"/>
                <w:szCs w:val="14"/>
              </w:rPr>
            </w:pPr>
            <w:r>
              <w:rPr>
                <w:b/>
                <w:bCs/>
                <w:sz w:val="14"/>
                <w:szCs w:val="14"/>
              </w:rPr>
              <w:t>Cost Capitalized</w:t>
            </w:r>
            <w:r>
              <w:rPr>
                <w:b/>
                <w:bCs/>
                <w:sz w:val="14"/>
                <w:szCs w:val="14"/>
              </w:rPr>
              <w:br/>
              <w:t>Subsequent to</w:t>
            </w:r>
            <w:r>
              <w:rPr>
                <w:b/>
                <w:bCs/>
                <w:sz w:val="14"/>
                <w:szCs w:val="14"/>
              </w:rPr>
              <w:br/>
              <w:t>Acquisitio</w:t>
            </w:r>
            <w:r>
              <w:rPr>
                <w:b/>
                <w:bCs/>
                <w:sz w:val="14"/>
                <w:szCs w:val="14"/>
              </w:rPr>
              <w:t>n</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6D723D">
            <w:pPr>
              <w:pStyle w:val="a3"/>
              <w:spacing w:before="0" w:beforeAutospacing="0" w:after="0" w:afterAutospacing="0"/>
              <w:jc w:val="center"/>
              <w:rPr>
                <w:sz w:val="14"/>
                <w:szCs w:val="14"/>
              </w:rPr>
            </w:pPr>
            <w:r>
              <w:rPr>
                <w:b/>
                <w:bCs/>
                <w:sz w:val="14"/>
                <w:szCs w:val="14"/>
              </w:rPr>
              <w:t>Land and Land</w:t>
            </w:r>
            <w:r>
              <w:rPr>
                <w:b/>
                <w:bCs/>
                <w:sz w:val="14"/>
                <w:szCs w:val="14"/>
              </w:rPr>
              <w:br/>
              <w:t>Improvement</w:t>
            </w:r>
            <w:r>
              <w:rPr>
                <w:b/>
                <w:bCs/>
                <w:sz w:val="14"/>
                <w:szCs w:val="14"/>
              </w:rPr>
              <w:t>s</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6D723D">
            <w:pPr>
              <w:pStyle w:val="a3"/>
              <w:spacing w:before="0" w:beforeAutospacing="0" w:after="0" w:afterAutospacing="0"/>
              <w:jc w:val="center"/>
              <w:rPr>
                <w:sz w:val="14"/>
                <w:szCs w:val="14"/>
              </w:rPr>
            </w:pPr>
            <w:r>
              <w:rPr>
                <w:b/>
                <w:bCs/>
                <w:sz w:val="14"/>
                <w:szCs w:val="14"/>
              </w:rPr>
              <w:t>Buildings and</w:t>
            </w:r>
            <w:r>
              <w:rPr>
                <w:b/>
                <w:bCs/>
                <w:sz w:val="14"/>
                <w:szCs w:val="14"/>
              </w:rPr>
              <w:br/>
              <w:t>Leasehold</w:t>
            </w:r>
            <w:r>
              <w:rPr>
                <w:b/>
                <w:bCs/>
                <w:sz w:val="14"/>
                <w:szCs w:val="14"/>
              </w:rPr>
              <w:br/>
            </w:r>
            <w:r>
              <w:rPr>
                <w:b/>
                <w:bCs/>
                <w:sz w:val="14"/>
                <w:szCs w:val="14"/>
              </w:rPr>
              <w:t>Improvement</w:t>
            </w:r>
            <w:r>
              <w:rPr>
                <w:b/>
                <w:bCs/>
                <w:sz w:val="14"/>
                <w:szCs w:val="14"/>
              </w:rPr>
              <w:t>s</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6D723D">
            <w:pPr>
              <w:pStyle w:val="a3"/>
              <w:spacing w:before="0" w:beforeAutospacing="0" w:after="0" w:afterAutospacing="0"/>
              <w:jc w:val="center"/>
              <w:rPr>
                <w:sz w:val="14"/>
                <w:szCs w:val="14"/>
              </w:rPr>
            </w:pPr>
            <w:r>
              <w:rPr>
                <w:b/>
                <w:bCs/>
                <w:sz w:val="14"/>
                <w:szCs w:val="14"/>
              </w:rPr>
              <w:t>Total (A</w:t>
            </w:r>
            <w:r>
              <w:rPr>
                <w:b/>
                <w:bCs/>
                <w:sz w:val="14"/>
                <w:szCs w:val="14"/>
              </w:rPr>
              <w:t>)</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6D723D">
            <w:pPr>
              <w:pStyle w:val="a3"/>
              <w:spacing w:before="0" w:beforeAutospacing="0" w:after="0" w:afterAutospacing="0"/>
              <w:jc w:val="center"/>
              <w:rPr>
                <w:sz w:val="14"/>
                <w:szCs w:val="14"/>
              </w:rPr>
            </w:pPr>
            <w:r>
              <w:rPr>
                <w:b/>
                <w:bCs/>
                <w:sz w:val="14"/>
                <w:szCs w:val="14"/>
              </w:rPr>
              <w:t>Accumulated Depreciation (B</w:t>
            </w:r>
            <w:r>
              <w:rPr>
                <w:b/>
                <w:bCs/>
                <w:sz w:val="14"/>
                <w:szCs w:val="14"/>
              </w:rPr>
              <w:t>)</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6D723D">
            <w:pPr>
              <w:pStyle w:val="a3"/>
              <w:spacing w:before="0" w:beforeAutospacing="0" w:after="0" w:afterAutospacing="0"/>
              <w:jc w:val="center"/>
              <w:rPr>
                <w:sz w:val="14"/>
                <w:szCs w:val="14"/>
              </w:rPr>
            </w:pPr>
            <w:r>
              <w:rPr>
                <w:b/>
                <w:bCs/>
                <w:sz w:val="14"/>
                <w:szCs w:val="14"/>
              </w:rPr>
              <w:t>Date</w:t>
            </w:r>
            <w:r>
              <w:rPr>
                <w:b/>
                <w:bCs/>
                <w:sz w:val="14"/>
                <w:szCs w:val="14"/>
              </w:rPr>
              <w:br/>
              <w:t>Constructed/</w:t>
            </w:r>
            <w:r>
              <w:rPr>
                <w:b/>
                <w:bCs/>
                <w:sz w:val="14"/>
                <w:szCs w:val="14"/>
              </w:rPr>
              <w:br/>
              <w:t>Acquire</w:t>
            </w:r>
            <w:r>
              <w:rPr>
                <w:b/>
                <w:bCs/>
                <w:sz w:val="14"/>
                <w:szCs w:val="14"/>
              </w:rPr>
              <w:t>d</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Red Rock Correctional</w:t>
            </w:r>
            <w:r>
              <w:rPr>
                <w:sz w:val="15"/>
                <w:szCs w:val="15"/>
              </w:rPr>
              <w:br/>
              <w:t>  Center (D</w:t>
            </w: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Eloy, Arizon</w:t>
            </w:r>
            <w:r>
              <w:rPr>
                <w:sz w:val="15"/>
                <w:szCs w:val="15"/>
              </w:rPr>
              <w:t>a</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200</w:t>
            </w:r>
            <w:r>
              <w:rPr>
                <w:sz w:val="15"/>
                <w:szCs w:val="15"/>
              </w:rPr>
              <w:t>6</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 xml:space="preserve">Roth Hall Residential </w:t>
            </w:r>
            <w:r>
              <w:rPr>
                <w:sz w:val="15"/>
                <w:szCs w:val="15"/>
              </w:rPr>
              <w:br/>
              <w:t>  </w:t>
            </w:r>
            <w:r>
              <w:rPr>
                <w:sz w:val="15"/>
                <w:szCs w:val="15"/>
              </w:rPr>
              <w:t>Reentry Center (C</w:t>
            </w: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Philadelphia, Pennsylvani</w:t>
            </w:r>
            <w:r>
              <w:rPr>
                <w:sz w:val="15"/>
                <w:szCs w:val="15"/>
              </w:rPr>
              <w:t>a</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65</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2,69</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65</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2,69</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3,34</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47</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5</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Saguaro Correctional Facilit</w:t>
            </w:r>
            <w:r>
              <w:rPr>
                <w:sz w:val="15"/>
                <w:szCs w:val="15"/>
              </w:rPr>
              <w:t>y</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Eloy, Arizon</w:t>
            </w:r>
            <w:r>
              <w:rPr>
                <w:sz w:val="15"/>
                <w:szCs w:val="15"/>
              </w:rPr>
              <w:t>a</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19</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98,90</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3,43</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48</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102,04</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102,52</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32,18</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200</w:t>
            </w:r>
            <w:r>
              <w:rPr>
                <w:sz w:val="15"/>
                <w:szCs w:val="15"/>
              </w:rPr>
              <w:t>7</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South Raleigh Reentry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Raleigh, North Carolin</w:t>
            </w:r>
            <w:r>
              <w:rPr>
                <w:sz w:val="15"/>
                <w:szCs w:val="15"/>
              </w:rPr>
              <w:t>a</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27</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66</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27</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71</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99</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7</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9</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 xml:space="preserve">Southeast Kentucky </w:t>
            </w:r>
            <w:r>
              <w:rPr>
                <w:sz w:val="15"/>
                <w:szCs w:val="15"/>
              </w:rPr>
              <w:br/>
              <w:t>   Correctional Facilit</w:t>
            </w:r>
            <w:r>
              <w:rPr>
                <w:sz w:val="15"/>
                <w:szCs w:val="15"/>
              </w:rPr>
              <w:t>y</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Wheelwright, Kentuck</w:t>
            </w:r>
            <w:r>
              <w:rPr>
                <w:sz w:val="15"/>
                <w:szCs w:val="15"/>
              </w:rPr>
              <w:t>y</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50</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24,48</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19,36</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2,58</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41,76</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44,35</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19,41</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199</w:t>
            </w:r>
            <w:r>
              <w:rPr>
                <w:sz w:val="15"/>
                <w:szCs w:val="15"/>
              </w:rPr>
              <w:t>8</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Stewart Detention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Lumpkin, Georgi</w:t>
            </w:r>
            <w:r>
              <w:rPr>
                <w:sz w:val="15"/>
                <w:szCs w:val="15"/>
              </w:rPr>
              <w:t>a</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14</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70,56</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22,96</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1,64</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92,02</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93,66</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37,36</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200</w:t>
            </w:r>
            <w:r>
              <w:rPr>
                <w:sz w:val="15"/>
                <w:szCs w:val="15"/>
              </w:rPr>
              <w:t>4</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T. Don Hutto Residential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Taylor, Texa</w:t>
            </w:r>
            <w:r>
              <w:rPr>
                <w:sz w:val="15"/>
                <w:szCs w:val="15"/>
              </w:rPr>
              <w:t>s</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18</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13,41</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12,87</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81</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25,66</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26,47</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10,37</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199</w:t>
            </w:r>
            <w:r>
              <w:rPr>
                <w:sz w:val="15"/>
                <w:szCs w:val="15"/>
              </w:rPr>
              <w:t>7</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 xml:space="preserve">Tallahatchie County </w:t>
            </w:r>
            <w:r>
              <w:rPr>
                <w:sz w:val="15"/>
                <w:szCs w:val="15"/>
              </w:rPr>
              <w:br/>
              <w:t>   Correctional Facilit</w:t>
            </w:r>
            <w:r>
              <w:rPr>
                <w:sz w:val="15"/>
                <w:szCs w:val="15"/>
              </w:rPr>
              <w:t>y</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Tutwiler, Mississipp</w:t>
            </w:r>
            <w:r>
              <w:rPr>
                <w:sz w:val="15"/>
                <w:szCs w:val="15"/>
              </w:rPr>
              <w:t>i</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44,63</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109,09</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2,24</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151,49</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153,73</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64,33</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200</w:t>
            </w:r>
            <w:r>
              <w:rPr>
                <w:sz w:val="15"/>
                <w:szCs w:val="15"/>
              </w:rPr>
              <w:t>0</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Torrance County Detention</w:t>
            </w:r>
            <w:r>
              <w:rPr>
                <w:sz w:val="15"/>
                <w:szCs w:val="15"/>
              </w:rPr>
              <w:br/>
              <w:t>   Facilit</w:t>
            </w:r>
            <w:r>
              <w:rPr>
                <w:sz w:val="15"/>
                <w:szCs w:val="15"/>
              </w:rPr>
              <w:t>y</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Estancia, New Mexic</w:t>
            </w:r>
            <w:r>
              <w:rPr>
                <w:sz w:val="15"/>
                <w:szCs w:val="15"/>
              </w:rPr>
              <w:t>o</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51</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52,59</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14,18</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1,99</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65,29</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67,29</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32,54</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199</w:t>
            </w:r>
            <w:r>
              <w:rPr>
                <w:sz w:val="15"/>
                <w:szCs w:val="15"/>
              </w:rPr>
              <w:t>0</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Trousdale Turner Correctional</w:t>
            </w:r>
            <w:r>
              <w:rPr>
                <w:sz w:val="15"/>
                <w:szCs w:val="15"/>
              </w:rPr>
              <w:br/>
              <w:t>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Hartsville, Tennesse</w:t>
            </w:r>
            <w:r>
              <w:rPr>
                <w:sz w:val="15"/>
                <w:szCs w:val="15"/>
              </w:rPr>
              <w:t>e</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64</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135,41</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5,79</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1,99</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139,85</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141,85</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20,45</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5</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Tulsa Transitional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Tulsa, Oklahom</w:t>
            </w:r>
            <w:r>
              <w:rPr>
                <w:sz w:val="15"/>
                <w:szCs w:val="15"/>
              </w:rPr>
              <w:t>a</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8,20</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4,06</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73</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60</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2,83</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3,44</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15"/>
                <w:szCs w:val="15"/>
              </w:rPr>
            </w:pPr>
            <w:r>
              <w:rPr>
                <w:b/>
                <w:bCs/>
                <w:sz w:val="15"/>
                <w:szCs w:val="15"/>
              </w:rPr>
              <w:t>(E</w:t>
            </w:r>
            <w:r>
              <w:rPr>
                <w:b/>
                <w:bCs/>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1,14</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5</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Turley Residential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Tulsa, Oklahom</w:t>
            </w:r>
            <w:r>
              <w:rPr>
                <w:sz w:val="15"/>
                <w:szCs w:val="15"/>
              </w:rPr>
              <w:t>a</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42</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4,10</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1,20</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43</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5,29</w:t>
            </w:r>
            <w:r>
              <w:rPr>
                <w:sz w:val="15"/>
                <w:szCs w:val="15"/>
              </w:rPr>
              <w:t>7</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5,72</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1,64</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5</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 xml:space="preserve">Walker Hall Residential </w:t>
            </w:r>
            <w:r>
              <w:rPr>
                <w:sz w:val="15"/>
                <w:szCs w:val="15"/>
              </w:rPr>
              <w:br/>
              <w:t>  Reentry Center (C</w:t>
            </w: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Philadelphia, Pennsylvani</w:t>
            </w:r>
            <w:r>
              <w:rPr>
                <w:sz w:val="15"/>
                <w:szCs w:val="15"/>
              </w:rPr>
              <w:t>a</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65</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2,69</w:t>
            </w:r>
            <w:r>
              <w:rPr>
                <w:sz w:val="15"/>
                <w:szCs w:val="15"/>
              </w:rPr>
              <w:t>2</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65</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2,72</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3,37</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48</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201</w:t>
            </w:r>
            <w:r>
              <w:rPr>
                <w:sz w:val="15"/>
                <w:szCs w:val="15"/>
              </w:rPr>
              <w:t>5</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 xml:space="preserve">Webb County Detention </w:t>
            </w:r>
            <w:r>
              <w:rPr>
                <w:sz w:val="15"/>
                <w:szCs w:val="15"/>
              </w:rPr>
              <w:br/>
              <w:t>   Cente</w:t>
            </w:r>
            <w:r>
              <w:rPr>
                <w:sz w:val="15"/>
                <w:szCs w:val="15"/>
              </w:rPr>
              <w:t>r</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Laredo, Texa</w:t>
            </w:r>
            <w:r>
              <w:rPr>
                <w:sz w:val="15"/>
                <w:szCs w:val="15"/>
              </w:rPr>
              <w:t>s</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49</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20,16</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6,82</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2,25</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25,23</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27,48</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14,74</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199</w:t>
            </w:r>
            <w:r>
              <w:rPr>
                <w:sz w:val="15"/>
                <w:szCs w:val="15"/>
              </w:rPr>
              <w:t>8</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West Tennessee Detention</w:t>
            </w:r>
            <w:r>
              <w:rPr>
                <w:sz w:val="15"/>
                <w:szCs w:val="15"/>
              </w:rPr>
              <w:br/>
              <w:t>   Facilit</w:t>
            </w:r>
            <w:r>
              <w:rPr>
                <w:sz w:val="15"/>
                <w:szCs w:val="15"/>
              </w:rPr>
              <w:t>y</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Mason, Tennesse</w:t>
            </w:r>
            <w:r>
              <w:rPr>
                <w:sz w:val="15"/>
                <w:szCs w:val="15"/>
              </w:rPr>
              <w:t>e</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53</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31,93</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8,58</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2,17</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38,88</w:t>
            </w:r>
            <w:r>
              <w:rPr>
                <w:sz w:val="15"/>
                <w:szCs w:val="15"/>
              </w:rPr>
              <w:t>0</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41,05</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21,47</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199</w:t>
            </w:r>
            <w:r>
              <w:rPr>
                <w:sz w:val="15"/>
                <w:szCs w:val="15"/>
              </w:rPr>
              <w:t>0</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 xml:space="preserve">Wheeler Correctional </w:t>
            </w:r>
            <w:r>
              <w:rPr>
                <w:sz w:val="15"/>
                <w:szCs w:val="15"/>
              </w:rPr>
              <w:br/>
              <w:t>   Facility (D</w:t>
            </w: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Alamo, Georgi</w:t>
            </w:r>
            <w:r>
              <w:rPr>
                <w:sz w:val="15"/>
                <w:szCs w:val="15"/>
              </w:rPr>
              <w:t>a</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199</w:t>
            </w:r>
            <w:r>
              <w:rPr>
                <w:sz w:val="15"/>
                <w:szCs w:val="15"/>
              </w:rPr>
              <w:t>8</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 xml:space="preserve">Whiteville Correctional </w:t>
            </w:r>
            <w:r>
              <w:rPr>
                <w:sz w:val="15"/>
                <w:szCs w:val="15"/>
              </w:rPr>
              <w:br/>
              <w:t>   Facilit</w:t>
            </w:r>
            <w:r>
              <w:rPr>
                <w:sz w:val="15"/>
                <w:szCs w:val="15"/>
              </w:rPr>
              <w:t>y</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Whiteville, Tennesse</w:t>
            </w:r>
            <w:r>
              <w:rPr>
                <w:sz w:val="15"/>
                <w:szCs w:val="15"/>
              </w:rPr>
              <w:t>e</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30</w:t>
            </w:r>
            <w:r>
              <w:rPr>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51,69</w:t>
            </w:r>
            <w:r>
              <w:rPr>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9,38</w:t>
            </w:r>
            <w:r>
              <w:rPr>
                <w:sz w:val="15"/>
                <w:szCs w:val="15"/>
              </w:rPr>
              <w:t>9</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1,67</w:t>
            </w:r>
            <w:r>
              <w:rPr>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59,71</w:t>
            </w:r>
            <w:r>
              <w:rPr>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61,38</w:t>
            </w:r>
            <w:r>
              <w:rPr>
                <w:sz w:val="15"/>
                <w:szCs w:val="15"/>
              </w:rPr>
              <w:t>6</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15"/>
                <w:szCs w:val="15"/>
              </w:rPr>
              <w:t>(</w:t>
            </w:r>
            <w:r>
              <w:rPr>
                <w:sz w:val="15"/>
                <w:szCs w:val="15"/>
              </w:rPr>
              <w:t>31,27</w:t>
            </w:r>
            <w:r>
              <w:rPr>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15"/>
                <w:szCs w:val="15"/>
              </w:rPr>
              <w:t>199</w:t>
            </w:r>
            <w:r>
              <w:rPr>
                <w:sz w:val="15"/>
                <w:szCs w:val="15"/>
              </w:rPr>
              <w:t>8</w:t>
            </w:r>
          </w:p>
        </w:tc>
      </w:tr>
      <w:tr w:rsidR="00000000">
        <w:trPr>
          <w:divId w:val="2108846129"/>
          <w:trHeight w:val="140"/>
          <w:tblCellSpacing w:w="15" w:type="dxa"/>
        </w:trPr>
        <w:tc>
          <w:tcPr>
            <w:tcW w:w="0" w:type="auto"/>
            <w:hideMark/>
          </w:tcPr>
          <w:p w:rsidR="00000000" w:rsidRDefault="006D723D">
            <w:pPr>
              <w:pStyle w:val="a3"/>
              <w:spacing w:before="0" w:beforeAutospacing="0" w:after="0" w:afterAutospacing="0"/>
              <w:rPr>
                <w:sz w:val="15"/>
                <w:szCs w:val="15"/>
              </w:rPr>
            </w:pPr>
            <w:r>
              <w:rPr>
                <w:sz w:val="15"/>
                <w:szCs w:val="15"/>
              </w:rPr>
              <w:t>Total</w:t>
            </w:r>
            <w:r>
              <w:rPr>
                <w:sz w:val="15"/>
                <w:szCs w:val="15"/>
              </w:rPr>
              <w:t>s</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b/>
                <w:bCs/>
                <w:sz w:val="15"/>
                <w:szCs w:val="15"/>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5"/>
                <w:szCs w:val="15"/>
              </w:rPr>
              <w:t>168,78</w:t>
            </w:r>
            <w:r>
              <w:rPr>
                <w:b/>
                <w:bCs/>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b/>
                <w:bCs/>
                <w:sz w:val="15"/>
                <w:szCs w:val="15"/>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5"/>
                <w:szCs w:val="15"/>
              </w:rPr>
              <w:t>2,114,37</w:t>
            </w:r>
            <w:r>
              <w:rPr>
                <w:b/>
                <w:bCs/>
                <w:sz w:val="15"/>
                <w:szCs w:val="15"/>
              </w:rPr>
              <w:t>5</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b/>
                <w:bCs/>
                <w:sz w:val="15"/>
                <w:szCs w:val="15"/>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5"/>
                <w:szCs w:val="15"/>
              </w:rPr>
              <w:t>1,038,80</w:t>
            </w:r>
            <w:r>
              <w:rPr>
                <w:b/>
                <w:bCs/>
                <w:sz w:val="15"/>
                <w:szCs w:val="15"/>
              </w:rPr>
              <w:t>8</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b/>
                <w:bCs/>
                <w:sz w:val="15"/>
                <w:szCs w:val="15"/>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5"/>
                <w:szCs w:val="15"/>
              </w:rPr>
              <w:t>217,01</w:t>
            </w:r>
            <w:r>
              <w:rPr>
                <w:b/>
                <w:bCs/>
                <w:sz w:val="15"/>
                <w:szCs w:val="15"/>
              </w:rPr>
              <w:t>1</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b/>
                <w:bCs/>
                <w:sz w:val="15"/>
                <w:szCs w:val="15"/>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5"/>
                <w:szCs w:val="15"/>
              </w:rPr>
              <w:t>3,071,70</w:t>
            </w:r>
            <w:r>
              <w:rPr>
                <w:b/>
                <w:bCs/>
                <w:sz w:val="15"/>
                <w:szCs w:val="15"/>
              </w:rPr>
              <w:t>3</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b/>
                <w:bCs/>
                <w:sz w:val="15"/>
                <w:szCs w:val="15"/>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5"/>
                <w:szCs w:val="15"/>
              </w:rPr>
              <w:t>3,288,71</w:t>
            </w:r>
            <w:r>
              <w:rPr>
                <w:b/>
                <w:bCs/>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6D723D">
            <w:pPr>
              <w:pStyle w:val="a3"/>
              <w:spacing w:before="0" w:beforeAutospacing="0" w:after="0" w:afterAutospacing="0"/>
              <w:rPr>
                <w:sz w:val="15"/>
                <w:szCs w:val="15"/>
              </w:rPr>
            </w:pPr>
            <w:r>
              <w:rPr>
                <w:b/>
                <w:bCs/>
                <w:sz w:val="15"/>
                <w:szCs w:val="15"/>
              </w:rPr>
              <w:t>$</w:t>
            </w:r>
          </w:p>
        </w:tc>
        <w:tc>
          <w:tcPr>
            <w:tcW w:w="0" w:type="auto"/>
            <w:vAlign w:val="bottom"/>
            <w:hideMark/>
          </w:tcPr>
          <w:p w:rsidR="00000000" w:rsidRDefault="006D723D">
            <w:pPr>
              <w:pStyle w:val="a3"/>
              <w:spacing w:before="0" w:beforeAutospacing="0" w:after="0" w:afterAutospacing="0"/>
              <w:jc w:val="right"/>
              <w:rPr>
                <w:sz w:val="20"/>
                <w:szCs w:val="20"/>
              </w:rPr>
            </w:pPr>
            <w:r>
              <w:rPr>
                <w:b/>
                <w:bCs/>
                <w:sz w:val="15"/>
                <w:szCs w:val="15"/>
              </w:rPr>
              <w:t>(</w:t>
            </w:r>
            <w:r>
              <w:rPr>
                <w:b/>
                <w:bCs/>
                <w:sz w:val="15"/>
                <w:szCs w:val="15"/>
              </w:rPr>
              <w:t>1,244,04</w:t>
            </w:r>
            <w:r>
              <w:rPr>
                <w:b/>
                <w:bCs/>
                <w:sz w:val="15"/>
                <w:szCs w:val="15"/>
              </w:rPr>
              <w:t>4</w:t>
            </w:r>
          </w:p>
        </w:tc>
        <w:tc>
          <w:tcPr>
            <w:tcW w:w="0" w:type="auto"/>
            <w:noWrap/>
            <w:vAlign w:val="bottom"/>
            <w:hideMark/>
          </w:tcPr>
          <w:p w:rsidR="00000000" w:rsidRDefault="006D723D">
            <w:pPr>
              <w:pStyle w:val="a3"/>
              <w:spacing w:before="0" w:beforeAutospacing="0" w:after="0" w:afterAutospacing="0"/>
              <w:rPr>
                <w:sz w:val="15"/>
                <w:szCs w:val="15"/>
              </w:rPr>
            </w:pPr>
            <w:r>
              <w:rPr>
                <w:b/>
                <w:bCs/>
                <w:sz w:val="15"/>
                <w:szCs w:val="15"/>
              </w:rPr>
              <w:t>)</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c>
          <w:tcPr>
            <w:tcW w:w="0" w:type="auto"/>
            <w:vAlign w:val="bottom"/>
            <w:hideMark/>
          </w:tcPr>
          <w:p w:rsidR="00000000" w:rsidRDefault="006D723D">
            <w:pPr>
              <w:pStyle w:val="a3"/>
              <w:spacing w:before="0" w:beforeAutospacing="0" w:after="0" w:afterAutospacing="0"/>
              <w:rPr>
                <w:sz w:val="15"/>
                <w:szCs w:val="15"/>
              </w:rPr>
            </w:pPr>
            <w:r>
              <w:rPr>
                <w:sz w:val="15"/>
                <w:szCs w:val="15"/>
              </w:rPr>
              <w:t> </w:t>
            </w:r>
          </w:p>
        </w:tc>
      </w:tr>
    </w:tbl>
    <w:p w:rsidR="00000000" w:rsidRDefault="006D723D">
      <w:pPr>
        <w:pStyle w:val="a3"/>
        <w:spacing w:before="0" w:beforeAutospacing="0" w:after="0" w:afterAutospacing="0"/>
        <w:divId w:val="2108846129"/>
        <w:rPr>
          <w:sz w:val="20"/>
          <w:szCs w:val="20"/>
        </w:rPr>
      </w:pPr>
      <w:r>
        <w:rPr>
          <w:sz w:val="10"/>
          <w:szCs w:val="10"/>
        </w:rPr>
        <w:t> </w:t>
      </w:r>
    </w:p>
    <w:p w:rsidR="00000000" w:rsidRDefault="006D723D">
      <w:pPr>
        <w:pStyle w:val="a3"/>
        <w:spacing w:before="0" w:beforeAutospacing="0" w:after="0" w:afterAutospacing="0"/>
        <w:divId w:val="2108846129"/>
        <w:rPr>
          <w:sz w:val="20"/>
          <w:szCs w:val="20"/>
        </w:rPr>
      </w:pPr>
      <w:r>
        <w:rPr>
          <w:sz w:val="10"/>
          <w:szCs w:val="10"/>
        </w:rPr>
        <w:t> </w:t>
      </w:r>
    </w:p>
    <w:p w:rsidR="00000000" w:rsidRDefault="006D723D">
      <w:pPr>
        <w:pStyle w:val="a3"/>
        <w:spacing w:before="0" w:beforeAutospacing="0" w:after="0" w:afterAutospacing="0"/>
        <w:divId w:val="2108846129"/>
        <w:rPr>
          <w:sz w:val="20"/>
          <w:szCs w:val="20"/>
        </w:rPr>
      </w:pPr>
      <w:r>
        <w:rPr>
          <w:sz w:val="20"/>
          <w:szCs w:val="20"/>
        </w:rPr>
        <w:t> </w:t>
      </w:r>
    </w:p>
    <w:p w:rsidR="00000000" w:rsidRDefault="006D723D">
      <w:pPr>
        <w:pStyle w:val="a3"/>
        <w:spacing w:before="0" w:beforeAutospacing="0" w:after="0" w:afterAutospacing="0"/>
        <w:jc w:val="center"/>
        <w:divId w:val="2108846129"/>
        <w:rPr>
          <w:sz w:val="20"/>
          <w:szCs w:val="20"/>
        </w:rPr>
      </w:pPr>
      <w:r>
        <w:rPr>
          <w:sz w:val="20"/>
          <w:szCs w:val="20"/>
        </w:rPr>
        <w:t>F</w:t>
      </w:r>
      <w:r>
        <w:rPr>
          <w:sz w:val="20"/>
          <w:szCs w:val="20"/>
        </w:rPr>
        <w:t>-</w:t>
      </w:r>
      <w:r>
        <w:rPr>
          <w:sz w:val="20"/>
          <w:szCs w:val="20"/>
        </w:rPr>
        <w:t>4</w:t>
      </w:r>
      <w:r>
        <w:rPr>
          <w:sz w:val="20"/>
          <w:szCs w:val="20"/>
        </w:rPr>
        <w:t>3</w:t>
      </w:r>
    </w:p>
    <w:p w:rsidR="00000000" w:rsidRDefault="006D723D">
      <w:pPr>
        <w:divId w:val="2108846129"/>
        <w:rPr>
          <w:rFonts w:eastAsia="Times New Roman"/>
          <w:sz w:val="20"/>
          <w:szCs w:val="20"/>
        </w:rPr>
      </w:pPr>
      <w:r>
        <w:rPr>
          <w:rFonts w:eastAsia="Times New Roman"/>
          <w:sz w:val="20"/>
          <w:szCs w:val="20"/>
        </w:rPr>
        <w:pict>
          <v:rect id="_x0000_i1171" style="width:0;height:1.5pt" o:hralign="center" o:hrstd="t" o:hr="t" fillcolor="#a0a0a0" stroked="f"/>
        </w:pict>
      </w:r>
    </w:p>
    <w:p w:rsidR="00000000" w:rsidRDefault="006D723D">
      <w:pPr>
        <w:pStyle w:val="a3"/>
        <w:spacing w:before="0" w:beforeAutospacing="0" w:after="0" w:afterAutospacing="0"/>
        <w:jc w:val="center"/>
        <w:divId w:val="2108846129"/>
        <w:rPr>
          <w:sz w:val="20"/>
          <w:szCs w:val="20"/>
        </w:rPr>
      </w:pPr>
      <w:r>
        <w:rPr>
          <w:b/>
          <w:bCs/>
          <w:sz w:val="20"/>
          <w:szCs w:val="20"/>
        </w:rPr>
        <w:t>CORECIVIC, INC. AND SUBSIDIARIE</w:t>
      </w:r>
      <w:r>
        <w:rPr>
          <w:b/>
          <w:bCs/>
          <w:sz w:val="20"/>
          <w:szCs w:val="20"/>
        </w:rPr>
        <w:t>S</w:t>
      </w:r>
    </w:p>
    <w:p w:rsidR="00000000" w:rsidRDefault="006D723D">
      <w:pPr>
        <w:pStyle w:val="a3"/>
        <w:spacing w:before="0" w:beforeAutospacing="0" w:after="0" w:afterAutospacing="0"/>
        <w:jc w:val="center"/>
        <w:divId w:val="2108846129"/>
        <w:rPr>
          <w:sz w:val="20"/>
          <w:szCs w:val="20"/>
        </w:rPr>
      </w:pPr>
      <w:r>
        <w:rPr>
          <w:b/>
          <w:bCs/>
          <w:sz w:val="20"/>
          <w:szCs w:val="20"/>
        </w:rPr>
        <w:t>SCHEDULE III - REAL ESTATE ASSETS AND ACCUMULATED DEPRECIATIO</w:t>
      </w:r>
      <w:r>
        <w:rPr>
          <w:b/>
          <w:bCs/>
          <w:sz w:val="20"/>
          <w:szCs w:val="20"/>
        </w:rPr>
        <w:t>N</w:t>
      </w:r>
    </w:p>
    <w:p w:rsidR="00000000" w:rsidRDefault="006D723D">
      <w:pPr>
        <w:pStyle w:val="a3"/>
        <w:spacing w:before="0" w:beforeAutospacing="0" w:after="0" w:afterAutospacing="0"/>
        <w:jc w:val="center"/>
        <w:divId w:val="2108846129"/>
        <w:rPr>
          <w:sz w:val="20"/>
          <w:szCs w:val="20"/>
        </w:rPr>
      </w:pPr>
      <w:r>
        <w:rPr>
          <w:b/>
          <w:bCs/>
          <w:sz w:val="20"/>
          <w:szCs w:val="20"/>
        </w:rPr>
        <w:t>DECEMBER 31, 202</w:t>
      </w:r>
      <w:r>
        <w:rPr>
          <w:b/>
          <w:bCs/>
          <w:sz w:val="20"/>
          <w:szCs w:val="20"/>
        </w:rPr>
        <w:t>2</w:t>
      </w:r>
    </w:p>
    <w:p w:rsidR="00000000" w:rsidRDefault="006D723D">
      <w:pPr>
        <w:pStyle w:val="a3"/>
        <w:spacing w:before="0" w:beforeAutospacing="0" w:after="0" w:afterAutospacing="0"/>
        <w:jc w:val="center"/>
        <w:divId w:val="2108846129"/>
        <w:rPr>
          <w:sz w:val="20"/>
          <w:szCs w:val="20"/>
        </w:rPr>
      </w:pPr>
      <w:r>
        <w:rPr>
          <w:b/>
          <w:bCs/>
          <w:sz w:val="20"/>
          <w:szCs w:val="20"/>
        </w:rPr>
        <w:t>(in thousands</w:t>
      </w:r>
      <w:r>
        <w:rPr>
          <w:b/>
          <w:bCs/>
          <w:sz w:val="20"/>
          <w:szCs w:val="20"/>
        </w:rPr>
        <w:t>)</w:t>
      </w:r>
    </w:p>
    <w:p w:rsidR="00000000" w:rsidRDefault="006D723D">
      <w:pPr>
        <w:pStyle w:val="a3"/>
        <w:spacing w:before="0" w:beforeAutospacing="0" w:after="0" w:afterAutospacing="0"/>
        <w:jc w:val="center"/>
        <w:divId w:val="2108846129"/>
        <w:rPr>
          <w:sz w:val="20"/>
          <w:szCs w:val="20"/>
        </w:rPr>
      </w:pPr>
      <w:r>
        <w:rPr>
          <w:sz w:val="10"/>
          <w:szCs w:val="10"/>
        </w:rPr>
        <w:t> </w:t>
      </w:r>
    </w:p>
    <w:p w:rsidR="00000000" w:rsidRDefault="006D723D">
      <w:pPr>
        <w:pStyle w:val="a3"/>
        <w:spacing w:before="0" w:beforeAutospacing="0" w:after="0" w:afterAutospacing="0"/>
        <w:divId w:val="2108846129"/>
        <w:rPr>
          <w:sz w:val="20"/>
          <w:szCs w:val="20"/>
        </w:rPr>
      </w:pPr>
      <w:r>
        <w:rPr>
          <w:sz w:val="20"/>
          <w:szCs w:val="20"/>
        </w:rPr>
        <w:t> </w:t>
      </w:r>
    </w:p>
    <w:p w:rsidR="00000000" w:rsidRDefault="006D723D">
      <w:pPr>
        <w:pStyle w:val="a3"/>
        <w:spacing w:before="0" w:beforeAutospacing="0" w:after="0" w:afterAutospacing="0"/>
        <w:divId w:val="2108846129"/>
        <w:rPr>
          <w:sz w:val="20"/>
          <w:szCs w:val="20"/>
        </w:rPr>
      </w:pPr>
      <w:r>
        <w:rPr>
          <w:sz w:val="20"/>
          <w:szCs w:val="20"/>
        </w:rPr>
        <w:t> </w:t>
      </w:r>
    </w:p>
    <w:p w:rsidR="00000000" w:rsidRDefault="006D723D">
      <w:pPr>
        <w:pStyle w:val="a3"/>
        <w:spacing w:before="0" w:beforeAutospacing="0" w:after="0" w:afterAutospacing="0"/>
        <w:divId w:val="2108846129"/>
        <w:rPr>
          <w:sz w:val="20"/>
          <w:szCs w:val="20"/>
        </w:rPr>
      </w:pPr>
      <w:r>
        <w:rPr>
          <w:b/>
          <w:bCs/>
          <w:sz w:val="20"/>
          <w:szCs w:val="20"/>
        </w:rPr>
        <w:t>NOTES TO SCHEDULE III - REAL ESTATE ASSETS AND ACCUMULATED DEPRECIATIO</w:t>
      </w:r>
      <w:r>
        <w:rPr>
          <w:b/>
          <w:bCs/>
          <w:sz w:val="20"/>
          <w:szCs w:val="20"/>
        </w:rPr>
        <w:t>N</w:t>
      </w:r>
    </w:p>
    <w:p w:rsidR="00000000" w:rsidRDefault="006D723D">
      <w:pPr>
        <w:pStyle w:val="a3"/>
        <w:spacing w:before="0" w:beforeAutospacing="0" w:after="0" w:afterAutospacing="0"/>
        <w:divId w:val="2108846129"/>
        <w:rPr>
          <w:sz w:val="20"/>
          <w:szCs w:val="20"/>
        </w:rPr>
      </w:pPr>
      <w:r>
        <w:rPr>
          <w:sz w:val="20"/>
          <w:szCs w:val="20"/>
        </w:rPr>
        <w:t> </w:t>
      </w:r>
    </w:p>
    <w:p w:rsidR="00000000" w:rsidRDefault="006D723D">
      <w:pPr>
        <w:pStyle w:val="a3"/>
        <w:spacing w:before="0" w:beforeAutospacing="0" w:after="0" w:afterAutospacing="0"/>
        <w:ind w:hanging="422"/>
        <w:divId w:val="2108846129"/>
        <w:rPr>
          <w:sz w:val="20"/>
          <w:szCs w:val="20"/>
        </w:rPr>
      </w:pPr>
      <w:r>
        <w:rPr>
          <w:b/>
          <w:bCs/>
          <w:sz w:val="20"/>
          <w:szCs w:val="20"/>
        </w:rPr>
        <w:t>(A</w:t>
      </w:r>
      <w:r>
        <w:rPr>
          <w:b/>
          <w:bCs/>
          <w:sz w:val="20"/>
          <w:szCs w:val="20"/>
        </w:rPr>
        <w:t>)</w:t>
      </w:r>
      <w:r>
        <w:rPr>
          <w:sz w:val="20"/>
          <w:szCs w:val="20"/>
        </w:rPr>
        <w:t xml:space="preserve"> </w:t>
      </w:r>
      <w:r>
        <w:rPr>
          <w:sz w:val="20"/>
          <w:szCs w:val="20"/>
        </w:rPr>
        <w:t xml:space="preserve">The aggregate cost of properties for federal income tax purposes is approximately </w:t>
      </w:r>
      <w:r>
        <w:rPr>
          <w:sz w:val="20"/>
          <w:szCs w:val="20"/>
        </w:rPr>
        <w:t>$</w:t>
      </w:r>
      <w:r>
        <w:rPr>
          <w:sz w:val="20"/>
          <w:szCs w:val="20"/>
        </w:rPr>
        <w:t>3.</w:t>
      </w:r>
      <w:r>
        <w:rPr>
          <w:sz w:val="20"/>
          <w:szCs w:val="20"/>
        </w:rPr>
        <w:t>7</w:t>
      </w:r>
      <w:r>
        <w:rPr>
          <w:sz w:val="20"/>
          <w:szCs w:val="20"/>
        </w:rPr>
        <w:t xml:space="preserve"> billion at December 31, 2022</w:t>
      </w:r>
      <w:r>
        <w:rPr>
          <w:sz w:val="20"/>
          <w:szCs w:val="20"/>
        </w:rPr>
        <w:t>.</w:t>
      </w:r>
    </w:p>
    <w:p w:rsidR="00000000" w:rsidRDefault="006D723D">
      <w:pPr>
        <w:pStyle w:val="a3"/>
        <w:spacing w:before="0" w:beforeAutospacing="0" w:after="0" w:afterAutospacing="0"/>
        <w:ind w:hanging="422"/>
        <w:divId w:val="2108846129"/>
        <w:rPr>
          <w:sz w:val="20"/>
          <w:szCs w:val="20"/>
        </w:rPr>
      </w:pPr>
      <w:r>
        <w:rPr>
          <w:b/>
          <w:bCs/>
          <w:sz w:val="20"/>
          <w:szCs w:val="20"/>
        </w:rPr>
        <w:t>(B</w:t>
      </w:r>
      <w:r>
        <w:rPr>
          <w:b/>
          <w:bCs/>
          <w:sz w:val="20"/>
          <w:szCs w:val="20"/>
        </w:rPr>
        <w:t>)</w:t>
      </w:r>
      <w:r>
        <w:rPr>
          <w:sz w:val="20"/>
          <w:szCs w:val="20"/>
        </w:rPr>
        <w:t xml:space="preserve"> </w:t>
      </w:r>
      <w:r>
        <w:rPr>
          <w:sz w:val="20"/>
          <w:szCs w:val="20"/>
        </w:rPr>
        <w:t>Depreciation is calculated using estimated useful lives of depreciable assets up to</w:t>
      </w:r>
      <w:r>
        <w:rPr>
          <w:sz w:val="20"/>
          <w:szCs w:val="20"/>
        </w:rPr>
        <w:t xml:space="preserve"> </w:t>
      </w:r>
      <w:r>
        <w:rPr>
          <w:sz w:val="20"/>
          <w:szCs w:val="20"/>
        </w:rPr>
        <w:t>5</w:t>
      </w:r>
      <w:r>
        <w:rPr>
          <w:sz w:val="20"/>
          <w:szCs w:val="20"/>
        </w:rPr>
        <w:t>0</w:t>
      </w:r>
      <w:r>
        <w:rPr>
          <w:sz w:val="20"/>
          <w:szCs w:val="20"/>
        </w:rPr>
        <w:t xml:space="preserve"> years for prison facilities</w:t>
      </w:r>
      <w:r>
        <w:rPr>
          <w:sz w:val="20"/>
          <w:szCs w:val="20"/>
        </w:rPr>
        <w:t>.</w:t>
      </w:r>
    </w:p>
    <w:p w:rsidR="00000000" w:rsidRDefault="006D723D">
      <w:pPr>
        <w:pStyle w:val="a3"/>
        <w:spacing w:before="0" w:beforeAutospacing="0" w:after="0" w:afterAutospacing="0"/>
        <w:ind w:hanging="422"/>
        <w:divId w:val="2108846129"/>
        <w:rPr>
          <w:sz w:val="20"/>
          <w:szCs w:val="20"/>
        </w:rPr>
      </w:pPr>
      <w:r>
        <w:rPr>
          <w:b/>
          <w:bCs/>
          <w:sz w:val="20"/>
          <w:szCs w:val="20"/>
        </w:rPr>
        <w:t>(C)</w:t>
      </w:r>
      <w:r>
        <w:rPr>
          <w:b/>
          <w:bCs/>
          <w:sz w:val="20"/>
          <w:szCs w:val="20"/>
        </w:rPr>
        <w:t xml:space="preserve"> </w:t>
      </w:r>
      <w:r>
        <w:rPr>
          <w:sz w:val="20"/>
          <w:szCs w:val="20"/>
        </w:rPr>
        <w:t>Held for Sale</w:t>
      </w:r>
      <w:r>
        <w:rPr>
          <w:sz w:val="20"/>
          <w:szCs w:val="20"/>
        </w:rPr>
        <w:t>.</w:t>
      </w:r>
    </w:p>
    <w:p w:rsidR="00000000" w:rsidRDefault="006D723D">
      <w:pPr>
        <w:pStyle w:val="a3"/>
        <w:spacing w:before="0" w:beforeAutospacing="0" w:after="0" w:afterAutospacing="0"/>
        <w:ind w:hanging="422"/>
        <w:divId w:val="2108846129"/>
        <w:rPr>
          <w:sz w:val="20"/>
          <w:szCs w:val="20"/>
        </w:rPr>
      </w:pPr>
      <w:r>
        <w:rPr>
          <w:b/>
          <w:bCs/>
          <w:sz w:val="20"/>
          <w:szCs w:val="20"/>
        </w:rPr>
        <w:t>(D)</w:t>
      </w:r>
      <w:r>
        <w:rPr>
          <w:b/>
          <w:bCs/>
          <w:sz w:val="20"/>
          <w:szCs w:val="20"/>
        </w:rPr>
        <w:t xml:space="preserve"> </w:t>
      </w:r>
      <w:r>
        <w:rPr>
          <w:sz w:val="20"/>
          <w:szCs w:val="20"/>
        </w:rPr>
        <w:t>CoreCivic retains title to this asset, which is classified under other real estate assets on the Company's consolidat</w:t>
      </w:r>
      <w:r>
        <w:rPr>
          <w:sz w:val="20"/>
          <w:szCs w:val="20"/>
        </w:rPr>
        <w:t>ed balance sheets in accordance with ASC 853</w:t>
      </w:r>
      <w:r>
        <w:rPr>
          <w:sz w:val="20"/>
          <w:szCs w:val="20"/>
        </w:rPr>
        <w:t>.</w:t>
      </w:r>
    </w:p>
    <w:p w:rsidR="00000000" w:rsidRDefault="006D723D">
      <w:pPr>
        <w:pStyle w:val="a3"/>
        <w:spacing w:before="0" w:beforeAutospacing="0" w:after="0" w:afterAutospacing="0"/>
        <w:ind w:hanging="422"/>
        <w:divId w:val="2108846129"/>
        <w:rPr>
          <w:sz w:val="20"/>
          <w:szCs w:val="20"/>
        </w:rPr>
      </w:pPr>
      <w:r>
        <w:rPr>
          <w:b/>
          <w:bCs/>
          <w:sz w:val="20"/>
          <w:szCs w:val="20"/>
        </w:rPr>
        <w:t>(E</w:t>
      </w:r>
      <w:r>
        <w:rPr>
          <w:b/>
          <w:bCs/>
          <w:sz w:val="20"/>
          <w:szCs w:val="20"/>
        </w:rPr>
        <w:t>)</w:t>
      </w:r>
      <w:r>
        <w:rPr>
          <w:sz w:val="20"/>
          <w:szCs w:val="20"/>
        </w:rPr>
        <w:t xml:space="preserve"> </w:t>
      </w:r>
      <w:r>
        <w:rPr>
          <w:sz w:val="20"/>
          <w:szCs w:val="20"/>
        </w:rPr>
        <w:t>CoreCivic recorded non-cash impairments during the fourth quarter of 2014 to write down the book value of the Mineral Wells facility, during the third quarter of 2017 to write down the book value of the Bri</w:t>
      </w:r>
      <w:r>
        <w:rPr>
          <w:sz w:val="20"/>
          <w:szCs w:val="20"/>
        </w:rPr>
        <w:t>dgeport facility, during the second quarter of 2020 to write down the book value of the Tulsa Transitional Center, and during the fourth quarter of 2022 to write down the book value of the Columbine Facility to the estimated fair values assuming uses other</w:t>
      </w:r>
      <w:r>
        <w:rPr>
          <w:sz w:val="20"/>
          <w:szCs w:val="20"/>
        </w:rPr>
        <w:t xml:space="preserve"> than correctional or residential reentry facilities</w:t>
      </w:r>
      <w:r>
        <w:rPr>
          <w:sz w:val="20"/>
          <w:szCs w:val="20"/>
        </w:rPr>
        <w:t>.</w:t>
      </w:r>
    </w:p>
    <w:p w:rsidR="00000000" w:rsidRDefault="006D723D">
      <w:pPr>
        <w:pStyle w:val="a3"/>
        <w:spacing w:before="0" w:beforeAutospacing="0" w:after="0" w:afterAutospacing="0"/>
        <w:jc w:val="center"/>
        <w:rPr>
          <w:sz w:val="20"/>
          <w:szCs w:val="20"/>
        </w:rPr>
      </w:pPr>
      <w:r>
        <w:rPr>
          <w:sz w:val="20"/>
          <w:szCs w:val="20"/>
        </w:rPr>
        <w:t>F</w:t>
      </w:r>
      <w:r>
        <w:rPr>
          <w:sz w:val="20"/>
          <w:szCs w:val="20"/>
        </w:rPr>
        <w:t>-</w:t>
      </w:r>
      <w:r>
        <w:rPr>
          <w:sz w:val="20"/>
          <w:szCs w:val="20"/>
        </w:rPr>
        <w:t>4</w:t>
      </w:r>
      <w:r>
        <w:rPr>
          <w:sz w:val="20"/>
          <w:szCs w:val="20"/>
        </w:rPr>
        <w:t>4</w:t>
      </w:r>
    </w:p>
    <w:p w:rsidR="00000000" w:rsidRDefault="006D723D">
      <w:pPr>
        <w:rPr>
          <w:rFonts w:eastAsia="Times New Roman"/>
        </w:rPr>
      </w:pPr>
      <w:r>
        <w:rPr>
          <w:rFonts w:eastAsia="Times New Roman"/>
        </w:rPr>
        <w:pict>
          <v:rect id="_x0000_i1172" style="width:0;height:1.5pt" o:hralign="center" o:hrstd="t" o:hr="t" fillcolor="#a0a0a0" stroked="f"/>
        </w:pict>
      </w:r>
    </w:p>
    <w:p w:rsidR="00000000" w:rsidRDefault="006D723D">
      <w:pPr>
        <w:pStyle w:val="a3"/>
        <w:spacing w:before="120" w:beforeAutospacing="0" w:after="0" w:afterAutospacing="0"/>
        <w:rPr>
          <w:sz w:val="20"/>
          <w:szCs w:val="20"/>
        </w:rPr>
      </w:pPr>
      <w:r>
        <w:rPr>
          <w:sz w:val="20"/>
          <w:szCs w:val="20"/>
        </w:rPr>
        <w:t> </w:t>
      </w:r>
    </w:p>
    <w:p w:rsidR="00000000" w:rsidRDefault="006D723D">
      <w:pPr>
        <w:pStyle w:val="a3"/>
        <w:spacing w:before="240" w:beforeAutospacing="0" w:after="0" w:afterAutospacing="0"/>
        <w:ind w:hanging="422"/>
        <w:jc w:val="center"/>
        <w:rPr>
          <w:sz w:val="20"/>
          <w:szCs w:val="20"/>
        </w:rPr>
      </w:pPr>
      <w:r>
        <w:rPr>
          <w:b/>
          <w:bCs/>
          <w:sz w:val="20"/>
          <w:szCs w:val="20"/>
        </w:rPr>
        <w:t>CORECIVIC, INC. AND SUBSIDIARIE</w:t>
      </w:r>
      <w:r>
        <w:rPr>
          <w:b/>
          <w:bCs/>
          <w:sz w:val="20"/>
          <w:szCs w:val="20"/>
        </w:rPr>
        <w:t>S</w:t>
      </w:r>
    </w:p>
    <w:p w:rsidR="00000000" w:rsidRDefault="006D723D">
      <w:pPr>
        <w:pStyle w:val="a3"/>
        <w:spacing w:before="0" w:beforeAutospacing="0" w:after="0" w:afterAutospacing="0"/>
        <w:ind w:hanging="422"/>
        <w:jc w:val="center"/>
        <w:rPr>
          <w:sz w:val="20"/>
          <w:szCs w:val="20"/>
        </w:rPr>
      </w:pPr>
      <w:r>
        <w:rPr>
          <w:b/>
          <w:bCs/>
          <w:sz w:val="20"/>
          <w:szCs w:val="20"/>
        </w:rPr>
        <w:t>SCHEDULE III - REAL ESTATE ASSETS AND ACCUMULATED DEPRECIATIO</w:t>
      </w:r>
      <w:r>
        <w:rPr>
          <w:b/>
          <w:bCs/>
          <w:sz w:val="20"/>
          <w:szCs w:val="20"/>
        </w:rPr>
        <w:t>N</w:t>
      </w:r>
    </w:p>
    <w:p w:rsidR="00000000" w:rsidRDefault="006D723D">
      <w:pPr>
        <w:pStyle w:val="a3"/>
        <w:spacing w:before="0" w:beforeAutospacing="0" w:after="0" w:afterAutospacing="0"/>
        <w:ind w:hanging="422"/>
        <w:jc w:val="center"/>
        <w:rPr>
          <w:sz w:val="20"/>
          <w:szCs w:val="20"/>
        </w:rPr>
      </w:pPr>
      <w:r>
        <w:rPr>
          <w:b/>
          <w:bCs/>
          <w:sz w:val="20"/>
          <w:szCs w:val="20"/>
        </w:rPr>
        <w:t>FOR THE YEARS ENDED DECEMBER 31, 2022, 2021, AND 202</w:t>
      </w:r>
      <w:r>
        <w:rPr>
          <w:b/>
          <w:bCs/>
          <w:sz w:val="20"/>
          <w:szCs w:val="20"/>
        </w:rPr>
        <w:t>0</w:t>
      </w:r>
    </w:p>
    <w:p w:rsidR="00000000" w:rsidRDefault="006D723D">
      <w:pPr>
        <w:pStyle w:val="a3"/>
        <w:spacing w:before="0" w:beforeAutospacing="0" w:after="0" w:afterAutospacing="0"/>
        <w:ind w:hanging="422"/>
        <w:jc w:val="center"/>
        <w:rPr>
          <w:sz w:val="20"/>
          <w:szCs w:val="20"/>
        </w:rPr>
      </w:pPr>
      <w:r>
        <w:rPr>
          <w:sz w:val="20"/>
          <w:szCs w:val="20"/>
        </w:rPr>
        <w:t>(in thou</w:t>
      </w:r>
      <w:r>
        <w:rPr>
          <w:sz w:val="20"/>
          <w:szCs w:val="20"/>
        </w:rPr>
        <w:t>sands</w:t>
      </w:r>
      <w:r>
        <w:rPr>
          <w:sz w:val="20"/>
          <w:szCs w:val="20"/>
        </w:rPr>
        <w:t>)</w:t>
      </w:r>
    </w:p>
    <w:p w:rsidR="00000000" w:rsidRDefault="006D723D">
      <w:pPr>
        <w:pStyle w:val="a3"/>
        <w:spacing w:before="0" w:beforeAutospacing="0" w:after="0" w:afterAutospacing="0"/>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658"/>
        <w:gridCol w:w="110"/>
        <w:gridCol w:w="160"/>
        <w:gridCol w:w="927"/>
        <w:gridCol w:w="127"/>
        <w:gridCol w:w="110"/>
        <w:gridCol w:w="160"/>
        <w:gridCol w:w="927"/>
        <w:gridCol w:w="127"/>
        <w:gridCol w:w="110"/>
        <w:gridCol w:w="160"/>
        <w:gridCol w:w="927"/>
        <w:gridCol w:w="142"/>
      </w:tblGrid>
      <w:tr w:rsidR="00000000">
        <w:trPr>
          <w:tblCellSpacing w:w="15" w:type="dxa"/>
        </w:trPr>
        <w:tc>
          <w:tcPr>
            <w:tcW w:w="2866" w:type="pct"/>
            <w:vAlign w:val="center"/>
            <w:hideMark/>
          </w:tcPr>
          <w:p w:rsidR="00000000" w:rsidRDefault="006D723D">
            <w:pPr>
              <w:rPr>
                <w:sz w:val="20"/>
                <w:szCs w:val="20"/>
              </w:rPr>
            </w:pPr>
          </w:p>
        </w:tc>
        <w:tc>
          <w:tcPr>
            <w:tcW w:w="6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3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38"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69"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c>
          <w:tcPr>
            <w:tcW w:w="546" w:type="pct"/>
            <w:vAlign w:val="center"/>
            <w:hideMark/>
          </w:tcPr>
          <w:p w:rsidR="00000000" w:rsidRDefault="006D723D">
            <w:pPr>
              <w:rPr>
                <w:rFonts w:eastAsia="Times New Roman"/>
                <w:sz w:val="20"/>
                <w:szCs w:val="20"/>
              </w:rPr>
            </w:pPr>
          </w:p>
        </w:tc>
        <w:tc>
          <w:tcPr>
            <w:tcW w:w="50" w:type="pct"/>
            <w:vAlign w:val="center"/>
            <w:hideMark/>
          </w:tcPr>
          <w:p w:rsidR="00000000" w:rsidRDefault="006D723D">
            <w:pPr>
              <w:rPr>
                <w:rFonts w:eastAsia="Times New Roman"/>
                <w:sz w:val="20"/>
                <w:szCs w:val="20"/>
              </w:rPr>
            </w:pP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6D723D">
            <w:pPr>
              <w:pStyle w:val="a3"/>
              <w:spacing w:before="0" w:beforeAutospacing="0" w:after="0" w:afterAutospacing="0"/>
              <w:jc w:val="center"/>
              <w:rPr>
                <w:sz w:val="16"/>
                <w:szCs w:val="16"/>
              </w:rPr>
            </w:pPr>
            <w:r>
              <w:rPr>
                <w:b/>
                <w:bCs/>
                <w:sz w:val="16"/>
                <w:szCs w:val="16"/>
              </w:rPr>
              <w:t>For the Years Ended December 31</w:t>
            </w:r>
            <w:r>
              <w:rPr>
                <w:b/>
                <w:bCs/>
                <w:sz w:val="16"/>
                <w:szCs w:val="16"/>
              </w:rPr>
              <w:t>,</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6D723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6D723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sz w:val="20"/>
                <w:szCs w:val="20"/>
              </w:rPr>
              <w:t>Investment in Real Estate</w:t>
            </w: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sz w:val="20"/>
                <w:szCs w:val="20"/>
              </w:rPr>
              <w:t>Balance at beginning of perio</w:t>
            </w:r>
            <w:r>
              <w:rPr>
                <w:sz w:val="20"/>
                <w:szCs w:val="20"/>
              </w:rPr>
              <w:t>d</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3,352,94</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3,595,27</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3,605,13</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sz w:val="20"/>
                <w:szCs w:val="20"/>
              </w:rPr>
              <w:t>Additions through capital expenditure</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41,44</w:t>
            </w:r>
            <w:r>
              <w:rPr>
                <w:sz w:val="20"/>
                <w:szCs w:val="20"/>
              </w:rPr>
              <w:t>9</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27,21</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29,14</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sz w:val="20"/>
                <w:szCs w:val="20"/>
              </w:rPr>
              <w:t>Acquisition</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82,32</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sz w:val="20"/>
                <w:szCs w:val="20"/>
              </w:rPr>
              <w:t>Asset impairment</w:t>
            </w:r>
            <w:r>
              <w:rPr>
                <w:sz w:val="20"/>
                <w:szCs w:val="20"/>
              </w:rPr>
              <w:t>s</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4,24</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3,33</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10,15</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sz w:val="20"/>
                <w:szCs w:val="20"/>
              </w:rPr>
              <w:t>Disposals/Othe</w:t>
            </w:r>
            <w:r>
              <w:rPr>
                <w:sz w:val="20"/>
                <w:szCs w:val="20"/>
              </w:rPr>
              <w:t>r</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101,43</w:t>
            </w:r>
            <w:r>
              <w:rPr>
                <w:sz w:val="20"/>
                <w:szCs w:val="20"/>
              </w:rPr>
              <w:t>6</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266,21</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111,17</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sz w:val="20"/>
                <w:szCs w:val="20"/>
              </w:rPr>
              <w:t>Balance at end of perio</w:t>
            </w:r>
            <w:r>
              <w:rPr>
                <w:sz w:val="20"/>
                <w:szCs w:val="20"/>
              </w:rPr>
              <w:t>d</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3,288,71</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3,352,94</w:t>
            </w:r>
            <w:r>
              <w:rPr>
                <w:sz w:val="20"/>
                <w:szCs w:val="20"/>
              </w:rPr>
              <w:t>2</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3,595,27</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sz w:val="20"/>
                <w:szCs w:val="20"/>
              </w:rPr>
              <w:t>Accumulated Depreciation</w:t>
            </w: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6D723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sz w:val="20"/>
                <w:szCs w:val="20"/>
              </w:rPr>
              <w:t>Balance at beginning of perio</w:t>
            </w:r>
            <w:r>
              <w:rPr>
                <w:sz w:val="20"/>
                <w:szCs w:val="20"/>
              </w:rPr>
              <w:t>d</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1,194,05</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1,128,56</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1,053,67</w:t>
            </w:r>
            <w:r>
              <w:rPr>
                <w:sz w:val="20"/>
                <w:szCs w:val="20"/>
              </w:rPr>
              <w:t>0</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sz w:val="20"/>
                <w:szCs w:val="20"/>
              </w:rPr>
              <w:t>Depreciatio</w:t>
            </w:r>
            <w:r>
              <w:rPr>
                <w:sz w:val="20"/>
                <w:szCs w:val="20"/>
              </w:rPr>
              <w:t>n</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81,93</w:t>
            </w:r>
            <w:r>
              <w:rPr>
                <w:sz w:val="20"/>
                <w:szCs w:val="20"/>
              </w:rPr>
              <w:t>7</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81,69</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89,00</w:t>
            </w:r>
            <w:r>
              <w:rPr>
                <w:sz w:val="20"/>
                <w:szCs w:val="20"/>
              </w:rPr>
              <w:t>8</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sz w:val="20"/>
                <w:szCs w:val="20"/>
              </w:rPr>
              <w:t>Disposals/Othe</w:t>
            </w:r>
            <w:r>
              <w:rPr>
                <w:sz w:val="20"/>
                <w:szCs w:val="20"/>
              </w:rPr>
              <w:t>r</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31,94</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16,20</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14,11</w:t>
            </w:r>
            <w:r>
              <w:rPr>
                <w:sz w:val="20"/>
                <w:szCs w:val="20"/>
              </w:rPr>
              <w:t>5</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723D">
            <w:pPr>
              <w:pStyle w:val="a3"/>
              <w:spacing w:before="0" w:beforeAutospacing="0" w:after="0" w:afterAutospacing="0"/>
              <w:rPr>
                <w:sz w:val="20"/>
                <w:szCs w:val="20"/>
              </w:rPr>
            </w:pPr>
            <w:r>
              <w:rPr>
                <w:sz w:val="20"/>
                <w:szCs w:val="20"/>
              </w:rPr>
              <w:t>Balance at end of perio</w:t>
            </w:r>
            <w:r>
              <w:rPr>
                <w:sz w:val="20"/>
                <w:szCs w:val="20"/>
              </w:rPr>
              <w:t>d</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1,244,04</w:t>
            </w:r>
            <w:r>
              <w:rPr>
                <w:sz w:val="20"/>
                <w:szCs w:val="20"/>
              </w:rPr>
              <w:t>4</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1,194,05</w:t>
            </w:r>
            <w:r>
              <w:rPr>
                <w:sz w:val="20"/>
                <w:szCs w:val="20"/>
              </w:rPr>
              <w:t>1</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c>
          <w:tcPr>
            <w:tcW w:w="0" w:type="auto"/>
            <w:vAlign w:val="bottom"/>
            <w:hideMark/>
          </w:tcPr>
          <w:p w:rsidR="00000000" w:rsidRDefault="006D723D">
            <w:pPr>
              <w:pStyle w:val="a3"/>
              <w:spacing w:before="0" w:beforeAutospacing="0" w:after="0" w:afterAutospacing="0"/>
              <w:jc w:val="right"/>
              <w:rPr>
                <w:sz w:val="20"/>
                <w:szCs w:val="20"/>
              </w:rPr>
            </w:pPr>
            <w:r>
              <w:rPr>
                <w:sz w:val="20"/>
                <w:szCs w:val="20"/>
              </w:rPr>
              <w:t>(</w:t>
            </w:r>
            <w:r>
              <w:rPr>
                <w:sz w:val="20"/>
                <w:szCs w:val="20"/>
              </w:rPr>
              <w:t>1,128,56</w:t>
            </w:r>
            <w:r>
              <w:rPr>
                <w:sz w:val="20"/>
                <w:szCs w:val="20"/>
              </w:rPr>
              <w:t>3</w:t>
            </w:r>
          </w:p>
        </w:tc>
        <w:tc>
          <w:tcPr>
            <w:tcW w:w="0" w:type="auto"/>
            <w:noWrap/>
            <w:vAlign w:val="bottom"/>
            <w:hideMark/>
          </w:tcPr>
          <w:p w:rsidR="00000000" w:rsidRDefault="006D723D">
            <w:pPr>
              <w:pStyle w:val="a3"/>
              <w:spacing w:before="0" w:beforeAutospacing="0" w:after="0" w:afterAutospacing="0"/>
              <w:rPr>
                <w:sz w:val="20"/>
                <w:szCs w:val="20"/>
              </w:rPr>
            </w:pPr>
            <w:r>
              <w:rPr>
                <w:sz w:val="20"/>
                <w:szCs w:val="20"/>
              </w:rPr>
              <w:t>)</w:t>
            </w:r>
          </w:p>
        </w:tc>
      </w:tr>
    </w:tbl>
    <w:p w:rsidR="00000000" w:rsidRDefault="006D723D">
      <w:pPr>
        <w:pStyle w:val="a3"/>
        <w:spacing w:before="0" w:beforeAutospacing="0" w:after="0" w:afterAutospacing="0"/>
        <w:ind w:hanging="422"/>
        <w:rPr>
          <w:sz w:val="20"/>
          <w:szCs w:val="20"/>
        </w:rPr>
      </w:pPr>
      <w:r>
        <w:rPr>
          <w:sz w:val="20"/>
          <w:szCs w:val="20"/>
        </w:rPr>
        <w:t> </w:t>
      </w:r>
    </w:p>
    <w:p w:rsidR="00000000" w:rsidRDefault="006D723D">
      <w:pPr>
        <w:pStyle w:val="a3"/>
        <w:spacing w:before="0" w:beforeAutospacing="0" w:after="0" w:afterAutospacing="0"/>
        <w:jc w:val="center"/>
        <w:rPr>
          <w:sz w:val="20"/>
          <w:szCs w:val="20"/>
        </w:rPr>
      </w:pPr>
      <w:r>
        <w:rPr>
          <w:sz w:val="20"/>
          <w:szCs w:val="20"/>
        </w:rPr>
        <w:t>F</w:t>
      </w:r>
      <w:r>
        <w:rPr>
          <w:sz w:val="20"/>
          <w:szCs w:val="20"/>
        </w:rPr>
        <w:t>-</w:t>
      </w:r>
      <w:r>
        <w:rPr>
          <w:sz w:val="20"/>
          <w:szCs w:val="20"/>
        </w:rPr>
        <w:t>4</w:t>
      </w:r>
      <w:r>
        <w:rPr>
          <w:sz w:val="20"/>
          <w:szCs w:val="20"/>
        </w:rPr>
        <w:t>5</w:t>
      </w:r>
    </w:p>
    <w:p w:rsidR="006D723D" w:rsidRDefault="006D723D">
      <w:pPr>
        <w:rPr>
          <w:rFonts w:eastAsia="Times New Roman"/>
        </w:rPr>
      </w:pPr>
      <w:r>
        <w:rPr>
          <w:rFonts w:eastAsia="Times New Roman"/>
        </w:rPr>
        <w:pict>
          <v:rect id="_x0000_i1173" style="width:0;height:1.5pt" o:hralign="center" o:hrstd="t" o:hr="t" fillcolor="#a0a0a0" stroked="f"/>
        </w:pict>
      </w:r>
    </w:p>
    <w:sectPr w:rsidR="006D723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D723D"/>
    <w:rsid w:val="006D723D"/>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xbrl.sec.gov/dei/2022"/>
  <w:attachedSchema w:val="http://fasb.org/us-gaap/2022"/>
  <w:attachedSchema w:val="http://www.xbrl.org/2003/iso4217"/>
  <w:attachedSchema w:val="http://xbrl.org/2020/extensible-enumerations-2.0"/>
  <w:attachedSchema w:val="http://www.xbrl.org/dtr/type/2020-01-21"/>
  <w:attachedSchema w:val="http://fasb.org/srt/2022"/>
  <w:attachedSchema w:val="http://www.corecivic.com/20221231"/>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1966">
      <w:marLeft w:val="4"/>
      <w:marRight w:val="0"/>
      <w:marTop w:val="120"/>
      <w:marBottom w:val="0"/>
      <w:divBdr>
        <w:top w:val="none" w:sz="0" w:space="0" w:color="auto"/>
        <w:left w:val="none" w:sz="0" w:space="0" w:color="auto"/>
        <w:bottom w:val="none" w:sz="0" w:space="0" w:color="auto"/>
        <w:right w:val="none" w:sz="0" w:space="0" w:color="auto"/>
      </w:divBdr>
      <w:divsChild>
        <w:div w:id="514536758">
          <w:marLeft w:val="0"/>
          <w:marRight w:val="0"/>
          <w:marTop w:val="0"/>
          <w:marBottom w:val="0"/>
          <w:divBdr>
            <w:top w:val="none" w:sz="0" w:space="0" w:color="auto"/>
            <w:left w:val="none" w:sz="0" w:space="0" w:color="auto"/>
            <w:bottom w:val="none" w:sz="0" w:space="0" w:color="auto"/>
            <w:right w:val="none" w:sz="0" w:space="0" w:color="auto"/>
          </w:divBdr>
        </w:div>
      </w:divsChild>
    </w:div>
    <w:div w:id="23944203">
      <w:marLeft w:val="4"/>
      <w:marRight w:val="0"/>
      <w:marTop w:val="120"/>
      <w:marBottom w:val="0"/>
      <w:divBdr>
        <w:top w:val="none" w:sz="0" w:space="0" w:color="auto"/>
        <w:left w:val="none" w:sz="0" w:space="0" w:color="auto"/>
        <w:bottom w:val="none" w:sz="0" w:space="0" w:color="auto"/>
        <w:right w:val="none" w:sz="0" w:space="0" w:color="auto"/>
      </w:divBdr>
      <w:divsChild>
        <w:div w:id="2053457788">
          <w:marLeft w:val="0"/>
          <w:marRight w:val="0"/>
          <w:marTop w:val="0"/>
          <w:marBottom w:val="0"/>
          <w:divBdr>
            <w:top w:val="none" w:sz="0" w:space="0" w:color="auto"/>
            <w:left w:val="none" w:sz="0" w:space="0" w:color="auto"/>
            <w:bottom w:val="none" w:sz="0" w:space="0" w:color="auto"/>
            <w:right w:val="none" w:sz="0" w:space="0" w:color="auto"/>
          </w:divBdr>
        </w:div>
      </w:divsChild>
    </w:div>
    <w:div w:id="24987085">
      <w:marLeft w:val="4"/>
      <w:marRight w:val="0"/>
      <w:marTop w:val="120"/>
      <w:marBottom w:val="0"/>
      <w:divBdr>
        <w:top w:val="none" w:sz="0" w:space="0" w:color="auto"/>
        <w:left w:val="none" w:sz="0" w:space="0" w:color="auto"/>
        <w:bottom w:val="none" w:sz="0" w:space="0" w:color="auto"/>
        <w:right w:val="none" w:sz="0" w:space="0" w:color="auto"/>
      </w:divBdr>
      <w:divsChild>
        <w:div w:id="462894607">
          <w:marLeft w:val="0"/>
          <w:marRight w:val="0"/>
          <w:marTop w:val="0"/>
          <w:marBottom w:val="0"/>
          <w:divBdr>
            <w:top w:val="none" w:sz="0" w:space="0" w:color="auto"/>
            <w:left w:val="none" w:sz="0" w:space="0" w:color="auto"/>
            <w:bottom w:val="none" w:sz="0" w:space="0" w:color="auto"/>
            <w:right w:val="none" w:sz="0" w:space="0" w:color="auto"/>
          </w:divBdr>
        </w:div>
      </w:divsChild>
    </w:div>
    <w:div w:id="30305239">
      <w:marLeft w:val="3"/>
      <w:marRight w:val="0"/>
      <w:marTop w:val="20"/>
      <w:marBottom w:val="0"/>
      <w:divBdr>
        <w:top w:val="none" w:sz="0" w:space="0" w:color="auto"/>
        <w:left w:val="none" w:sz="0" w:space="0" w:color="auto"/>
        <w:bottom w:val="none" w:sz="0" w:space="0" w:color="auto"/>
        <w:right w:val="none" w:sz="0" w:space="0" w:color="auto"/>
      </w:divBdr>
      <w:divsChild>
        <w:div w:id="525826507">
          <w:marLeft w:val="0"/>
          <w:marRight w:val="0"/>
          <w:marTop w:val="0"/>
          <w:marBottom w:val="0"/>
          <w:divBdr>
            <w:top w:val="none" w:sz="0" w:space="0" w:color="auto"/>
            <w:left w:val="none" w:sz="0" w:space="0" w:color="auto"/>
            <w:bottom w:val="none" w:sz="0" w:space="0" w:color="auto"/>
            <w:right w:val="none" w:sz="0" w:space="0" w:color="auto"/>
          </w:divBdr>
        </w:div>
      </w:divsChild>
    </w:div>
    <w:div w:id="56589926">
      <w:marLeft w:val="4"/>
      <w:marRight w:val="0"/>
      <w:marTop w:val="120"/>
      <w:marBottom w:val="0"/>
      <w:divBdr>
        <w:top w:val="none" w:sz="0" w:space="0" w:color="auto"/>
        <w:left w:val="none" w:sz="0" w:space="0" w:color="auto"/>
        <w:bottom w:val="none" w:sz="0" w:space="0" w:color="auto"/>
        <w:right w:val="none" w:sz="0" w:space="0" w:color="auto"/>
      </w:divBdr>
      <w:divsChild>
        <w:div w:id="2125616548">
          <w:marLeft w:val="0"/>
          <w:marRight w:val="0"/>
          <w:marTop w:val="0"/>
          <w:marBottom w:val="0"/>
          <w:divBdr>
            <w:top w:val="none" w:sz="0" w:space="0" w:color="auto"/>
            <w:left w:val="none" w:sz="0" w:space="0" w:color="auto"/>
            <w:bottom w:val="none" w:sz="0" w:space="0" w:color="auto"/>
            <w:right w:val="none" w:sz="0" w:space="0" w:color="auto"/>
          </w:divBdr>
        </w:div>
      </w:divsChild>
    </w:div>
    <w:div w:id="61611380">
      <w:marLeft w:val="0"/>
      <w:marRight w:val="0"/>
      <w:marTop w:val="0"/>
      <w:marBottom w:val="0"/>
      <w:divBdr>
        <w:top w:val="none" w:sz="0" w:space="0" w:color="auto"/>
        <w:left w:val="none" w:sz="0" w:space="0" w:color="auto"/>
        <w:bottom w:val="none" w:sz="0" w:space="0" w:color="auto"/>
        <w:right w:val="none" w:sz="0" w:space="0" w:color="auto"/>
      </w:divBdr>
    </w:div>
    <w:div w:id="82576332">
      <w:marLeft w:val="3"/>
      <w:marRight w:val="0"/>
      <w:marTop w:val="20"/>
      <w:marBottom w:val="0"/>
      <w:divBdr>
        <w:top w:val="none" w:sz="0" w:space="0" w:color="auto"/>
        <w:left w:val="none" w:sz="0" w:space="0" w:color="auto"/>
        <w:bottom w:val="none" w:sz="0" w:space="0" w:color="auto"/>
        <w:right w:val="none" w:sz="0" w:space="0" w:color="auto"/>
      </w:divBdr>
      <w:divsChild>
        <w:div w:id="1252202381">
          <w:marLeft w:val="0"/>
          <w:marRight w:val="0"/>
          <w:marTop w:val="0"/>
          <w:marBottom w:val="0"/>
          <w:divBdr>
            <w:top w:val="none" w:sz="0" w:space="0" w:color="auto"/>
            <w:left w:val="none" w:sz="0" w:space="0" w:color="auto"/>
            <w:bottom w:val="none" w:sz="0" w:space="0" w:color="auto"/>
            <w:right w:val="none" w:sz="0" w:space="0" w:color="auto"/>
          </w:divBdr>
        </w:div>
      </w:divsChild>
    </w:div>
    <w:div w:id="86394040">
      <w:marLeft w:val="0"/>
      <w:marRight w:val="0"/>
      <w:marTop w:val="0"/>
      <w:marBottom w:val="0"/>
      <w:divBdr>
        <w:top w:val="none" w:sz="0" w:space="0" w:color="auto"/>
        <w:left w:val="none" w:sz="0" w:space="0" w:color="auto"/>
        <w:bottom w:val="none" w:sz="0" w:space="0" w:color="auto"/>
        <w:right w:val="none" w:sz="0" w:space="0" w:color="auto"/>
      </w:divBdr>
      <w:divsChild>
        <w:div w:id="616839102">
          <w:marLeft w:val="0"/>
          <w:marRight w:val="0"/>
          <w:marTop w:val="120"/>
          <w:marBottom w:val="0"/>
          <w:divBdr>
            <w:top w:val="none" w:sz="0" w:space="0" w:color="auto"/>
            <w:left w:val="none" w:sz="0" w:space="0" w:color="auto"/>
            <w:bottom w:val="none" w:sz="0" w:space="0" w:color="auto"/>
            <w:right w:val="none" w:sz="0" w:space="0" w:color="auto"/>
          </w:divBdr>
          <w:divsChild>
            <w:div w:id="7444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858">
      <w:marLeft w:val="0"/>
      <w:marRight w:val="0"/>
      <w:marTop w:val="0"/>
      <w:marBottom w:val="0"/>
      <w:divBdr>
        <w:top w:val="none" w:sz="0" w:space="0" w:color="auto"/>
        <w:left w:val="none" w:sz="0" w:space="0" w:color="auto"/>
        <w:bottom w:val="none" w:sz="0" w:space="0" w:color="auto"/>
        <w:right w:val="none" w:sz="0" w:space="0" w:color="auto"/>
      </w:divBdr>
      <w:divsChild>
        <w:div w:id="604458088">
          <w:marLeft w:val="0"/>
          <w:marRight w:val="0"/>
          <w:marTop w:val="120"/>
          <w:marBottom w:val="0"/>
          <w:divBdr>
            <w:top w:val="none" w:sz="0" w:space="0" w:color="auto"/>
            <w:left w:val="none" w:sz="0" w:space="0" w:color="auto"/>
            <w:bottom w:val="none" w:sz="0" w:space="0" w:color="auto"/>
            <w:right w:val="none" w:sz="0" w:space="0" w:color="auto"/>
          </w:divBdr>
          <w:divsChild>
            <w:div w:id="1451319200">
              <w:marLeft w:val="0"/>
              <w:marRight w:val="0"/>
              <w:marTop w:val="0"/>
              <w:marBottom w:val="0"/>
              <w:divBdr>
                <w:top w:val="none" w:sz="0" w:space="0" w:color="auto"/>
                <w:left w:val="none" w:sz="0" w:space="0" w:color="auto"/>
                <w:bottom w:val="none" w:sz="0" w:space="0" w:color="auto"/>
                <w:right w:val="none" w:sz="0" w:space="0" w:color="auto"/>
              </w:divBdr>
            </w:div>
          </w:divsChild>
        </w:div>
        <w:div w:id="1516505199">
          <w:marLeft w:val="0"/>
          <w:marRight w:val="0"/>
          <w:marTop w:val="0"/>
          <w:marBottom w:val="0"/>
          <w:divBdr>
            <w:top w:val="none" w:sz="0" w:space="0" w:color="auto"/>
            <w:left w:val="none" w:sz="0" w:space="0" w:color="auto"/>
            <w:bottom w:val="none" w:sz="0" w:space="0" w:color="auto"/>
            <w:right w:val="none" w:sz="0" w:space="0" w:color="auto"/>
          </w:divBdr>
        </w:div>
      </w:divsChild>
    </w:div>
    <w:div w:id="122694694">
      <w:marLeft w:val="3"/>
      <w:marRight w:val="0"/>
      <w:marTop w:val="20"/>
      <w:marBottom w:val="0"/>
      <w:divBdr>
        <w:top w:val="none" w:sz="0" w:space="0" w:color="auto"/>
        <w:left w:val="none" w:sz="0" w:space="0" w:color="auto"/>
        <w:bottom w:val="none" w:sz="0" w:space="0" w:color="auto"/>
        <w:right w:val="none" w:sz="0" w:space="0" w:color="auto"/>
      </w:divBdr>
      <w:divsChild>
        <w:div w:id="1947615637">
          <w:marLeft w:val="0"/>
          <w:marRight w:val="0"/>
          <w:marTop w:val="0"/>
          <w:marBottom w:val="0"/>
          <w:divBdr>
            <w:top w:val="none" w:sz="0" w:space="0" w:color="auto"/>
            <w:left w:val="none" w:sz="0" w:space="0" w:color="auto"/>
            <w:bottom w:val="none" w:sz="0" w:space="0" w:color="auto"/>
            <w:right w:val="none" w:sz="0" w:space="0" w:color="auto"/>
          </w:divBdr>
        </w:div>
      </w:divsChild>
    </w:div>
    <w:div w:id="124273881">
      <w:marLeft w:val="4"/>
      <w:marRight w:val="0"/>
      <w:marTop w:val="0"/>
      <w:marBottom w:val="0"/>
      <w:divBdr>
        <w:top w:val="none" w:sz="0" w:space="0" w:color="auto"/>
        <w:left w:val="none" w:sz="0" w:space="0" w:color="auto"/>
        <w:bottom w:val="none" w:sz="0" w:space="0" w:color="auto"/>
        <w:right w:val="none" w:sz="0" w:space="0" w:color="auto"/>
      </w:divBdr>
      <w:divsChild>
        <w:div w:id="2099013636">
          <w:marLeft w:val="0"/>
          <w:marRight w:val="0"/>
          <w:marTop w:val="0"/>
          <w:marBottom w:val="0"/>
          <w:divBdr>
            <w:top w:val="none" w:sz="0" w:space="0" w:color="auto"/>
            <w:left w:val="none" w:sz="0" w:space="0" w:color="auto"/>
            <w:bottom w:val="none" w:sz="0" w:space="0" w:color="auto"/>
            <w:right w:val="none" w:sz="0" w:space="0" w:color="auto"/>
          </w:divBdr>
        </w:div>
      </w:divsChild>
    </w:div>
    <w:div w:id="125239789">
      <w:marLeft w:val="4"/>
      <w:marRight w:val="0"/>
      <w:marTop w:val="120"/>
      <w:marBottom w:val="0"/>
      <w:divBdr>
        <w:top w:val="none" w:sz="0" w:space="0" w:color="auto"/>
        <w:left w:val="none" w:sz="0" w:space="0" w:color="auto"/>
        <w:bottom w:val="none" w:sz="0" w:space="0" w:color="auto"/>
        <w:right w:val="none" w:sz="0" w:space="0" w:color="auto"/>
      </w:divBdr>
      <w:divsChild>
        <w:div w:id="324090037">
          <w:marLeft w:val="0"/>
          <w:marRight w:val="0"/>
          <w:marTop w:val="0"/>
          <w:marBottom w:val="0"/>
          <w:divBdr>
            <w:top w:val="none" w:sz="0" w:space="0" w:color="auto"/>
            <w:left w:val="none" w:sz="0" w:space="0" w:color="auto"/>
            <w:bottom w:val="none" w:sz="0" w:space="0" w:color="auto"/>
            <w:right w:val="none" w:sz="0" w:space="0" w:color="auto"/>
          </w:divBdr>
        </w:div>
      </w:divsChild>
    </w:div>
    <w:div w:id="125465146">
      <w:marLeft w:val="4"/>
      <w:marRight w:val="0"/>
      <w:marTop w:val="120"/>
      <w:marBottom w:val="0"/>
      <w:divBdr>
        <w:top w:val="none" w:sz="0" w:space="0" w:color="auto"/>
        <w:left w:val="none" w:sz="0" w:space="0" w:color="auto"/>
        <w:bottom w:val="none" w:sz="0" w:space="0" w:color="auto"/>
        <w:right w:val="none" w:sz="0" w:space="0" w:color="auto"/>
      </w:divBdr>
      <w:divsChild>
        <w:div w:id="310990661">
          <w:marLeft w:val="0"/>
          <w:marRight w:val="0"/>
          <w:marTop w:val="0"/>
          <w:marBottom w:val="0"/>
          <w:divBdr>
            <w:top w:val="none" w:sz="0" w:space="0" w:color="auto"/>
            <w:left w:val="none" w:sz="0" w:space="0" w:color="auto"/>
            <w:bottom w:val="none" w:sz="0" w:space="0" w:color="auto"/>
            <w:right w:val="none" w:sz="0" w:space="0" w:color="auto"/>
          </w:divBdr>
        </w:div>
      </w:divsChild>
    </w:div>
    <w:div w:id="125707237">
      <w:marLeft w:val="3"/>
      <w:marRight w:val="0"/>
      <w:marTop w:val="20"/>
      <w:marBottom w:val="0"/>
      <w:divBdr>
        <w:top w:val="none" w:sz="0" w:space="0" w:color="auto"/>
        <w:left w:val="none" w:sz="0" w:space="0" w:color="auto"/>
        <w:bottom w:val="none" w:sz="0" w:space="0" w:color="auto"/>
        <w:right w:val="none" w:sz="0" w:space="0" w:color="auto"/>
      </w:divBdr>
      <w:divsChild>
        <w:div w:id="534465955">
          <w:marLeft w:val="0"/>
          <w:marRight w:val="0"/>
          <w:marTop w:val="0"/>
          <w:marBottom w:val="0"/>
          <w:divBdr>
            <w:top w:val="none" w:sz="0" w:space="0" w:color="auto"/>
            <w:left w:val="none" w:sz="0" w:space="0" w:color="auto"/>
            <w:bottom w:val="none" w:sz="0" w:space="0" w:color="auto"/>
            <w:right w:val="none" w:sz="0" w:space="0" w:color="auto"/>
          </w:divBdr>
        </w:div>
      </w:divsChild>
    </w:div>
    <w:div w:id="125975144">
      <w:marLeft w:val="4"/>
      <w:marRight w:val="0"/>
      <w:marTop w:val="120"/>
      <w:marBottom w:val="0"/>
      <w:divBdr>
        <w:top w:val="none" w:sz="0" w:space="0" w:color="auto"/>
        <w:left w:val="none" w:sz="0" w:space="0" w:color="auto"/>
        <w:bottom w:val="none" w:sz="0" w:space="0" w:color="auto"/>
        <w:right w:val="none" w:sz="0" w:space="0" w:color="auto"/>
      </w:divBdr>
      <w:divsChild>
        <w:div w:id="1304240157">
          <w:marLeft w:val="0"/>
          <w:marRight w:val="0"/>
          <w:marTop w:val="0"/>
          <w:marBottom w:val="0"/>
          <w:divBdr>
            <w:top w:val="none" w:sz="0" w:space="0" w:color="auto"/>
            <w:left w:val="none" w:sz="0" w:space="0" w:color="auto"/>
            <w:bottom w:val="none" w:sz="0" w:space="0" w:color="auto"/>
            <w:right w:val="none" w:sz="0" w:space="0" w:color="auto"/>
          </w:divBdr>
        </w:div>
      </w:divsChild>
    </w:div>
    <w:div w:id="127170624">
      <w:marLeft w:val="4"/>
      <w:marRight w:val="0"/>
      <w:marTop w:val="120"/>
      <w:marBottom w:val="0"/>
      <w:divBdr>
        <w:top w:val="none" w:sz="0" w:space="0" w:color="auto"/>
        <w:left w:val="none" w:sz="0" w:space="0" w:color="auto"/>
        <w:bottom w:val="none" w:sz="0" w:space="0" w:color="auto"/>
        <w:right w:val="none" w:sz="0" w:space="0" w:color="auto"/>
      </w:divBdr>
      <w:divsChild>
        <w:div w:id="695697097">
          <w:marLeft w:val="0"/>
          <w:marRight w:val="0"/>
          <w:marTop w:val="0"/>
          <w:marBottom w:val="0"/>
          <w:divBdr>
            <w:top w:val="none" w:sz="0" w:space="0" w:color="auto"/>
            <w:left w:val="none" w:sz="0" w:space="0" w:color="auto"/>
            <w:bottom w:val="none" w:sz="0" w:space="0" w:color="auto"/>
            <w:right w:val="none" w:sz="0" w:space="0" w:color="auto"/>
          </w:divBdr>
        </w:div>
      </w:divsChild>
    </w:div>
    <w:div w:id="135419780">
      <w:marLeft w:val="3"/>
      <w:marRight w:val="0"/>
      <w:marTop w:val="20"/>
      <w:marBottom w:val="0"/>
      <w:divBdr>
        <w:top w:val="none" w:sz="0" w:space="0" w:color="auto"/>
        <w:left w:val="none" w:sz="0" w:space="0" w:color="auto"/>
        <w:bottom w:val="none" w:sz="0" w:space="0" w:color="auto"/>
        <w:right w:val="none" w:sz="0" w:space="0" w:color="auto"/>
      </w:divBdr>
      <w:divsChild>
        <w:div w:id="1397359406">
          <w:marLeft w:val="0"/>
          <w:marRight w:val="0"/>
          <w:marTop w:val="0"/>
          <w:marBottom w:val="0"/>
          <w:divBdr>
            <w:top w:val="none" w:sz="0" w:space="0" w:color="auto"/>
            <w:left w:val="none" w:sz="0" w:space="0" w:color="auto"/>
            <w:bottom w:val="none" w:sz="0" w:space="0" w:color="auto"/>
            <w:right w:val="none" w:sz="0" w:space="0" w:color="auto"/>
          </w:divBdr>
        </w:div>
      </w:divsChild>
    </w:div>
    <w:div w:id="138500654">
      <w:marLeft w:val="4"/>
      <w:marRight w:val="0"/>
      <w:marTop w:val="120"/>
      <w:marBottom w:val="0"/>
      <w:divBdr>
        <w:top w:val="none" w:sz="0" w:space="0" w:color="auto"/>
        <w:left w:val="none" w:sz="0" w:space="0" w:color="auto"/>
        <w:bottom w:val="none" w:sz="0" w:space="0" w:color="auto"/>
        <w:right w:val="none" w:sz="0" w:space="0" w:color="auto"/>
      </w:divBdr>
      <w:divsChild>
        <w:div w:id="694885568">
          <w:marLeft w:val="0"/>
          <w:marRight w:val="0"/>
          <w:marTop w:val="0"/>
          <w:marBottom w:val="0"/>
          <w:divBdr>
            <w:top w:val="none" w:sz="0" w:space="0" w:color="auto"/>
            <w:left w:val="none" w:sz="0" w:space="0" w:color="auto"/>
            <w:bottom w:val="none" w:sz="0" w:space="0" w:color="auto"/>
            <w:right w:val="none" w:sz="0" w:space="0" w:color="auto"/>
          </w:divBdr>
        </w:div>
      </w:divsChild>
    </w:div>
    <w:div w:id="142090107">
      <w:marLeft w:val="3"/>
      <w:marRight w:val="0"/>
      <w:marTop w:val="20"/>
      <w:marBottom w:val="0"/>
      <w:divBdr>
        <w:top w:val="none" w:sz="0" w:space="0" w:color="auto"/>
        <w:left w:val="none" w:sz="0" w:space="0" w:color="auto"/>
        <w:bottom w:val="none" w:sz="0" w:space="0" w:color="auto"/>
        <w:right w:val="none" w:sz="0" w:space="0" w:color="auto"/>
      </w:divBdr>
      <w:divsChild>
        <w:div w:id="1366641533">
          <w:marLeft w:val="0"/>
          <w:marRight w:val="0"/>
          <w:marTop w:val="0"/>
          <w:marBottom w:val="0"/>
          <w:divBdr>
            <w:top w:val="none" w:sz="0" w:space="0" w:color="auto"/>
            <w:left w:val="none" w:sz="0" w:space="0" w:color="auto"/>
            <w:bottom w:val="none" w:sz="0" w:space="0" w:color="auto"/>
            <w:right w:val="none" w:sz="0" w:space="0" w:color="auto"/>
          </w:divBdr>
        </w:div>
      </w:divsChild>
    </w:div>
    <w:div w:id="150872259">
      <w:marLeft w:val="4"/>
      <w:marRight w:val="0"/>
      <w:marTop w:val="120"/>
      <w:marBottom w:val="0"/>
      <w:divBdr>
        <w:top w:val="none" w:sz="0" w:space="0" w:color="auto"/>
        <w:left w:val="none" w:sz="0" w:space="0" w:color="auto"/>
        <w:bottom w:val="none" w:sz="0" w:space="0" w:color="auto"/>
        <w:right w:val="none" w:sz="0" w:space="0" w:color="auto"/>
      </w:divBdr>
      <w:divsChild>
        <w:div w:id="1651442505">
          <w:marLeft w:val="0"/>
          <w:marRight w:val="0"/>
          <w:marTop w:val="0"/>
          <w:marBottom w:val="0"/>
          <w:divBdr>
            <w:top w:val="none" w:sz="0" w:space="0" w:color="auto"/>
            <w:left w:val="none" w:sz="0" w:space="0" w:color="auto"/>
            <w:bottom w:val="none" w:sz="0" w:space="0" w:color="auto"/>
            <w:right w:val="none" w:sz="0" w:space="0" w:color="auto"/>
          </w:divBdr>
        </w:div>
      </w:divsChild>
    </w:div>
    <w:div w:id="156308914">
      <w:marLeft w:val="1"/>
      <w:marRight w:val="0"/>
      <w:marTop w:val="120"/>
      <w:marBottom w:val="0"/>
      <w:divBdr>
        <w:top w:val="none" w:sz="0" w:space="0" w:color="auto"/>
        <w:left w:val="none" w:sz="0" w:space="0" w:color="auto"/>
        <w:bottom w:val="none" w:sz="0" w:space="0" w:color="auto"/>
        <w:right w:val="none" w:sz="0" w:space="0" w:color="auto"/>
      </w:divBdr>
      <w:divsChild>
        <w:div w:id="1180856778">
          <w:marLeft w:val="0"/>
          <w:marRight w:val="0"/>
          <w:marTop w:val="0"/>
          <w:marBottom w:val="0"/>
          <w:divBdr>
            <w:top w:val="none" w:sz="0" w:space="0" w:color="auto"/>
            <w:left w:val="none" w:sz="0" w:space="0" w:color="auto"/>
            <w:bottom w:val="none" w:sz="0" w:space="0" w:color="auto"/>
            <w:right w:val="none" w:sz="0" w:space="0" w:color="auto"/>
          </w:divBdr>
        </w:div>
      </w:divsChild>
    </w:div>
    <w:div w:id="156578328">
      <w:marLeft w:val="4"/>
      <w:marRight w:val="0"/>
      <w:marTop w:val="120"/>
      <w:marBottom w:val="0"/>
      <w:divBdr>
        <w:top w:val="none" w:sz="0" w:space="0" w:color="auto"/>
        <w:left w:val="none" w:sz="0" w:space="0" w:color="auto"/>
        <w:bottom w:val="none" w:sz="0" w:space="0" w:color="auto"/>
        <w:right w:val="none" w:sz="0" w:space="0" w:color="auto"/>
      </w:divBdr>
      <w:divsChild>
        <w:div w:id="1558977495">
          <w:marLeft w:val="0"/>
          <w:marRight w:val="0"/>
          <w:marTop w:val="0"/>
          <w:marBottom w:val="0"/>
          <w:divBdr>
            <w:top w:val="none" w:sz="0" w:space="0" w:color="auto"/>
            <w:left w:val="none" w:sz="0" w:space="0" w:color="auto"/>
            <w:bottom w:val="none" w:sz="0" w:space="0" w:color="auto"/>
            <w:right w:val="none" w:sz="0" w:space="0" w:color="auto"/>
          </w:divBdr>
        </w:div>
      </w:divsChild>
    </w:div>
    <w:div w:id="172377321">
      <w:marLeft w:val="0"/>
      <w:marRight w:val="0"/>
      <w:marTop w:val="0"/>
      <w:marBottom w:val="0"/>
      <w:divBdr>
        <w:top w:val="none" w:sz="0" w:space="0" w:color="auto"/>
        <w:left w:val="none" w:sz="0" w:space="0" w:color="auto"/>
        <w:bottom w:val="none" w:sz="0" w:space="0" w:color="auto"/>
        <w:right w:val="none" w:sz="0" w:space="0" w:color="auto"/>
      </w:divBdr>
    </w:div>
    <w:div w:id="216286623">
      <w:marLeft w:val="4"/>
      <w:marRight w:val="0"/>
      <w:marTop w:val="120"/>
      <w:marBottom w:val="0"/>
      <w:divBdr>
        <w:top w:val="none" w:sz="0" w:space="0" w:color="auto"/>
        <w:left w:val="none" w:sz="0" w:space="0" w:color="auto"/>
        <w:bottom w:val="none" w:sz="0" w:space="0" w:color="auto"/>
        <w:right w:val="none" w:sz="0" w:space="0" w:color="auto"/>
      </w:divBdr>
      <w:divsChild>
        <w:div w:id="4286008">
          <w:marLeft w:val="0"/>
          <w:marRight w:val="0"/>
          <w:marTop w:val="0"/>
          <w:marBottom w:val="0"/>
          <w:divBdr>
            <w:top w:val="none" w:sz="0" w:space="0" w:color="auto"/>
            <w:left w:val="none" w:sz="0" w:space="0" w:color="auto"/>
            <w:bottom w:val="none" w:sz="0" w:space="0" w:color="auto"/>
            <w:right w:val="none" w:sz="0" w:space="0" w:color="auto"/>
          </w:divBdr>
        </w:div>
      </w:divsChild>
    </w:div>
    <w:div w:id="217862995">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120"/>
          <w:marBottom w:val="0"/>
          <w:divBdr>
            <w:top w:val="none" w:sz="0" w:space="0" w:color="auto"/>
            <w:left w:val="none" w:sz="0" w:space="0" w:color="auto"/>
            <w:bottom w:val="none" w:sz="0" w:space="0" w:color="auto"/>
            <w:right w:val="none" w:sz="0" w:space="0" w:color="auto"/>
          </w:divBdr>
          <w:divsChild>
            <w:div w:id="169805255">
              <w:marLeft w:val="0"/>
              <w:marRight w:val="0"/>
              <w:marTop w:val="0"/>
              <w:marBottom w:val="0"/>
              <w:divBdr>
                <w:top w:val="none" w:sz="0" w:space="0" w:color="auto"/>
                <w:left w:val="none" w:sz="0" w:space="0" w:color="auto"/>
                <w:bottom w:val="none" w:sz="0" w:space="0" w:color="auto"/>
                <w:right w:val="none" w:sz="0" w:space="0" w:color="auto"/>
              </w:divBdr>
            </w:div>
          </w:divsChild>
        </w:div>
        <w:div w:id="1567182838">
          <w:marLeft w:val="0"/>
          <w:marRight w:val="0"/>
          <w:marTop w:val="0"/>
          <w:marBottom w:val="0"/>
          <w:divBdr>
            <w:top w:val="none" w:sz="0" w:space="0" w:color="auto"/>
            <w:left w:val="none" w:sz="0" w:space="0" w:color="auto"/>
            <w:bottom w:val="none" w:sz="0" w:space="0" w:color="auto"/>
            <w:right w:val="none" w:sz="0" w:space="0" w:color="auto"/>
          </w:divBdr>
        </w:div>
        <w:div w:id="175506546">
          <w:marLeft w:val="0"/>
          <w:marRight w:val="0"/>
          <w:marTop w:val="0"/>
          <w:marBottom w:val="0"/>
          <w:divBdr>
            <w:top w:val="none" w:sz="0" w:space="0" w:color="auto"/>
            <w:left w:val="none" w:sz="0" w:space="0" w:color="auto"/>
            <w:bottom w:val="none" w:sz="0" w:space="0" w:color="auto"/>
            <w:right w:val="none" w:sz="0" w:space="0" w:color="auto"/>
          </w:divBdr>
        </w:div>
      </w:divsChild>
    </w:div>
    <w:div w:id="257107394">
      <w:marLeft w:val="4"/>
      <w:marRight w:val="0"/>
      <w:marTop w:val="120"/>
      <w:marBottom w:val="0"/>
      <w:divBdr>
        <w:top w:val="none" w:sz="0" w:space="0" w:color="auto"/>
        <w:left w:val="none" w:sz="0" w:space="0" w:color="auto"/>
        <w:bottom w:val="none" w:sz="0" w:space="0" w:color="auto"/>
        <w:right w:val="none" w:sz="0" w:space="0" w:color="auto"/>
      </w:divBdr>
      <w:divsChild>
        <w:div w:id="4981480">
          <w:marLeft w:val="0"/>
          <w:marRight w:val="0"/>
          <w:marTop w:val="0"/>
          <w:marBottom w:val="0"/>
          <w:divBdr>
            <w:top w:val="none" w:sz="0" w:space="0" w:color="auto"/>
            <w:left w:val="none" w:sz="0" w:space="0" w:color="auto"/>
            <w:bottom w:val="none" w:sz="0" w:space="0" w:color="auto"/>
            <w:right w:val="none" w:sz="0" w:space="0" w:color="auto"/>
          </w:divBdr>
        </w:div>
      </w:divsChild>
    </w:div>
    <w:div w:id="262568705">
      <w:marLeft w:val="3"/>
      <w:marRight w:val="0"/>
      <w:marTop w:val="240"/>
      <w:marBottom w:val="160"/>
      <w:divBdr>
        <w:top w:val="none" w:sz="0" w:space="0" w:color="auto"/>
        <w:left w:val="none" w:sz="0" w:space="0" w:color="auto"/>
        <w:bottom w:val="none" w:sz="0" w:space="0" w:color="auto"/>
        <w:right w:val="none" w:sz="0" w:space="0" w:color="auto"/>
      </w:divBdr>
      <w:divsChild>
        <w:div w:id="1528519927">
          <w:marLeft w:val="0"/>
          <w:marRight w:val="0"/>
          <w:marTop w:val="0"/>
          <w:marBottom w:val="0"/>
          <w:divBdr>
            <w:top w:val="none" w:sz="0" w:space="0" w:color="auto"/>
            <w:left w:val="none" w:sz="0" w:space="0" w:color="auto"/>
            <w:bottom w:val="none" w:sz="0" w:space="0" w:color="auto"/>
            <w:right w:val="none" w:sz="0" w:space="0" w:color="auto"/>
          </w:divBdr>
        </w:div>
      </w:divsChild>
    </w:div>
    <w:div w:id="263735548">
      <w:marLeft w:val="3"/>
      <w:marRight w:val="0"/>
      <w:marTop w:val="0"/>
      <w:marBottom w:val="120"/>
      <w:divBdr>
        <w:top w:val="none" w:sz="0" w:space="0" w:color="auto"/>
        <w:left w:val="none" w:sz="0" w:space="0" w:color="auto"/>
        <w:bottom w:val="none" w:sz="0" w:space="0" w:color="auto"/>
        <w:right w:val="none" w:sz="0" w:space="0" w:color="auto"/>
      </w:divBdr>
      <w:divsChild>
        <w:div w:id="633608501">
          <w:marLeft w:val="0"/>
          <w:marRight w:val="0"/>
          <w:marTop w:val="0"/>
          <w:marBottom w:val="0"/>
          <w:divBdr>
            <w:top w:val="none" w:sz="0" w:space="0" w:color="auto"/>
            <w:left w:val="none" w:sz="0" w:space="0" w:color="auto"/>
            <w:bottom w:val="none" w:sz="0" w:space="0" w:color="auto"/>
            <w:right w:val="none" w:sz="0" w:space="0" w:color="auto"/>
          </w:divBdr>
        </w:div>
      </w:divsChild>
    </w:div>
    <w:div w:id="265356160">
      <w:marLeft w:val="4"/>
      <w:marRight w:val="0"/>
      <w:marTop w:val="240"/>
      <w:marBottom w:val="0"/>
      <w:divBdr>
        <w:top w:val="none" w:sz="0" w:space="0" w:color="auto"/>
        <w:left w:val="none" w:sz="0" w:space="0" w:color="auto"/>
        <w:bottom w:val="none" w:sz="0" w:space="0" w:color="auto"/>
        <w:right w:val="none" w:sz="0" w:space="0" w:color="auto"/>
      </w:divBdr>
      <w:divsChild>
        <w:div w:id="1870609452">
          <w:marLeft w:val="0"/>
          <w:marRight w:val="0"/>
          <w:marTop w:val="0"/>
          <w:marBottom w:val="0"/>
          <w:divBdr>
            <w:top w:val="none" w:sz="0" w:space="0" w:color="auto"/>
            <w:left w:val="none" w:sz="0" w:space="0" w:color="auto"/>
            <w:bottom w:val="none" w:sz="0" w:space="0" w:color="auto"/>
            <w:right w:val="none" w:sz="0" w:space="0" w:color="auto"/>
          </w:divBdr>
        </w:div>
      </w:divsChild>
    </w:div>
    <w:div w:id="300039728">
      <w:marLeft w:val="3"/>
      <w:marRight w:val="0"/>
      <w:marTop w:val="120"/>
      <w:marBottom w:val="0"/>
      <w:divBdr>
        <w:top w:val="none" w:sz="0" w:space="0" w:color="auto"/>
        <w:left w:val="none" w:sz="0" w:space="0" w:color="auto"/>
        <w:bottom w:val="none" w:sz="0" w:space="0" w:color="auto"/>
        <w:right w:val="none" w:sz="0" w:space="0" w:color="auto"/>
      </w:divBdr>
      <w:divsChild>
        <w:div w:id="516888148">
          <w:marLeft w:val="0"/>
          <w:marRight w:val="0"/>
          <w:marTop w:val="0"/>
          <w:marBottom w:val="0"/>
          <w:divBdr>
            <w:top w:val="none" w:sz="0" w:space="0" w:color="auto"/>
            <w:left w:val="none" w:sz="0" w:space="0" w:color="auto"/>
            <w:bottom w:val="none" w:sz="0" w:space="0" w:color="auto"/>
            <w:right w:val="none" w:sz="0" w:space="0" w:color="auto"/>
          </w:divBdr>
        </w:div>
      </w:divsChild>
    </w:div>
    <w:div w:id="307516323">
      <w:marLeft w:val="0"/>
      <w:marRight w:val="0"/>
      <w:marTop w:val="40"/>
      <w:marBottom w:val="0"/>
      <w:divBdr>
        <w:top w:val="none" w:sz="0" w:space="0" w:color="auto"/>
        <w:left w:val="none" w:sz="0" w:space="0" w:color="auto"/>
        <w:bottom w:val="none" w:sz="0" w:space="0" w:color="auto"/>
        <w:right w:val="none" w:sz="0" w:space="0" w:color="auto"/>
      </w:divBdr>
      <w:divsChild>
        <w:div w:id="802384006">
          <w:marLeft w:val="0"/>
          <w:marRight w:val="0"/>
          <w:marTop w:val="0"/>
          <w:marBottom w:val="0"/>
          <w:divBdr>
            <w:top w:val="none" w:sz="0" w:space="0" w:color="auto"/>
            <w:left w:val="none" w:sz="0" w:space="0" w:color="auto"/>
            <w:bottom w:val="none" w:sz="0" w:space="0" w:color="auto"/>
            <w:right w:val="none" w:sz="0" w:space="0" w:color="auto"/>
          </w:divBdr>
        </w:div>
      </w:divsChild>
    </w:div>
    <w:div w:id="323556404">
      <w:marLeft w:val="4"/>
      <w:marRight w:val="0"/>
      <w:marTop w:val="120"/>
      <w:marBottom w:val="0"/>
      <w:divBdr>
        <w:top w:val="none" w:sz="0" w:space="0" w:color="auto"/>
        <w:left w:val="none" w:sz="0" w:space="0" w:color="auto"/>
        <w:bottom w:val="none" w:sz="0" w:space="0" w:color="auto"/>
        <w:right w:val="none" w:sz="0" w:space="0" w:color="auto"/>
      </w:divBdr>
      <w:divsChild>
        <w:div w:id="1070159488">
          <w:marLeft w:val="0"/>
          <w:marRight w:val="0"/>
          <w:marTop w:val="0"/>
          <w:marBottom w:val="0"/>
          <w:divBdr>
            <w:top w:val="none" w:sz="0" w:space="0" w:color="auto"/>
            <w:left w:val="none" w:sz="0" w:space="0" w:color="auto"/>
            <w:bottom w:val="none" w:sz="0" w:space="0" w:color="auto"/>
            <w:right w:val="none" w:sz="0" w:space="0" w:color="auto"/>
          </w:divBdr>
        </w:div>
      </w:divsChild>
    </w:div>
    <w:div w:id="335038232">
      <w:marLeft w:val="4"/>
      <w:marRight w:val="0"/>
      <w:marTop w:val="120"/>
      <w:marBottom w:val="0"/>
      <w:divBdr>
        <w:top w:val="none" w:sz="0" w:space="0" w:color="auto"/>
        <w:left w:val="none" w:sz="0" w:space="0" w:color="auto"/>
        <w:bottom w:val="none" w:sz="0" w:space="0" w:color="auto"/>
        <w:right w:val="none" w:sz="0" w:space="0" w:color="auto"/>
      </w:divBdr>
      <w:divsChild>
        <w:div w:id="96602864">
          <w:marLeft w:val="0"/>
          <w:marRight w:val="0"/>
          <w:marTop w:val="0"/>
          <w:marBottom w:val="0"/>
          <w:divBdr>
            <w:top w:val="none" w:sz="0" w:space="0" w:color="auto"/>
            <w:left w:val="none" w:sz="0" w:space="0" w:color="auto"/>
            <w:bottom w:val="none" w:sz="0" w:space="0" w:color="auto"/>
            <w:right w:val="none" w:sz="0" w:space="0" w:color="auto"/>
          </w:divBdr>
        </w:div>
      </w:divsChild>
    </w:div>
    <w:div w:id="359664538">
      <w:marLeft w:val="0"/>
      <w:marRight w:val="0"/>
      <w:marTop w:val="0"/>
      <w:marBottom w:val="0"/>
      <w:divBdr>
        <w:top w:val="none" w:sz="0" w:space="0" w:color="auto"/>
        <w:left w:val="none" w:sz="0" w:space="0" w:color="auto"/>
        <w:bottom w:val="none" w:sz="0" w:space="0" w:color="auto"/>
        <w:right w:val="none" w:sz="0" w:space="0" w:color="auto"/>
      </w:divBdr>
      <w:divsChild>
        <w:div w:id="1491292215">
          <w:marLeft w:val="0"/>
          <w:marRight w:val="0"/>
          <w:marTop w:val="120"/>
          <w:marBottom w:val="0"/>
          <w:divBdr>
            <w:top w:val="none" w:sz="0" w:space="0" w:color="auto"/>
            <w:left w:val="none" w:sz="0" w:space="0" w:color="auto"/>
            <w:bottom w:val="none" w:sz="0" w:space="0" w:color="auto"/>
            <w:right w:val="none" w:sz="0" w:space="0" w:color="auto"/>
          </w:divBdr>
          <w:divsChild>
            <w:div w:id="1638144394">
              <w:marLeft w:val="0"/>
              <w:marRight w:val="0"/>
              <w:marTop w:val="0"/>
              <w:marBottom w:val="0"/>
              <w:divBdr>
                <w:top w:val="none" w:sz="0" w:space="0" w:color="auto"/>
                <w:left w:val="none" w:sz="0" w:space="0" w:color="auto"/>
                <w:bottom w:val="none" w:sz="0" w:space="0" w:color="auto"/>
                <w:right w:val="none" w:sz="0" w:space="0" w:color="auto"/>
              </w:divBdr>
            </w:div>
          </w:divsChild>
        </w:div>
        <w:div w:id="850027896">
          <w:marLeft w:val="0"/>
          <w:marRight w:val="0"/>
          <w:marTop w:val="0"/>
          <w:marBottom w:val="0"/>
          <w:divBdr>
            <w:top w:val="none" w:sz="0" w:space="0" w:color="auto"/>
            <w:left w:val="none" w:sz="0" w:space="0" w:color="auto"/>
            <w:bottom w:val="none" w:sz="0" w:space="0" w:color="auto"/>
            <w:right w:val="none" w:sz="0" w:space="0" w:color="auto"/>
          </w:divBdr>
        </w:div>
        <w:div w:id="1839692458">
          <w:marLeft w:val="0"/>
          <w:marRight w:val="0"/>
          <w:marTop w:val="0"/>
          <w:marBottom w:val="0"/>
          <w:divBdr>
            <w:top w:val="none" w:sz="0" w:space="0" w:color="auto"/>
            <w:left w:val="none" w:sz="0" w:space="0" w:color="auto"/>
            <w:bottom w:val="none" w:sz="0" w:space="0" w:color="auto"/>
            <w:right w:val="none" w:sz="0" w:space="0" w:color="auto"/>
          </w:divBdr>
        </w:div>
        <w:div w:id="1144738889">
          <w:marLeft w:val="0"/>
          <w:marRight w:val="0"/>
          <w:marTop w:val="0"/>
          <w:marBottom w:val="0"/>
          <w:divBdr>
            <w:top w:val="none" w:sz="0" w:space="0" w:color="auto"/>
            <w:left w:val="none" w:sz="0" w:space="0" w:color="auto"/>
            <w:bottom w:val="none" w:sz="0" w:space="0" w:color="auto"/>
            <w:right w:val="none" w:sz="0" w:space="0" w:color="auto"/>
          </w:divBdr>
        </w:div>
      </w:divsChild>
    </w:div>
    <w:div w:id="396783661">
      <w:marLeft w:val="3"/>
      <w:marRight w:val="0"/>
      <w:marTop w:val="20"/>
      <w:marBottom w:val="0"/>
      <w:divBdr>
        <w:top w:val="none" w:sz="0" w:space="0" w:color="auto"/>
        <w:left w:val="none" w:sz="0" w:space="0" w:color="auto"/>
        <w:bottom w:val="none" w:sz="0" w:space="0" w:color="auto"/>
        <w:right w:val="none" w:sz="0" w:space="0" w:color="auto"/>
      </w:divBdr>
      <w:divsChild>
        <w:div w:id="943422006">
          <w:marLeft w:val="0"/>
          <w:marRight w:val="0"/>
          <w:marTop w:val="0"/>
          <w:marBottom w:val="0"/>
          <w:divBdr>
            <w:top w:val="none" w:sz="0" w:space="0" w:color="auto"/>
            <w:left w:val="none" w:sz="0" w:space="0" w:color="auto"/>
            <w:bottom w:val="none" w:sz="0" w:space="0" w:color="auto"/>
            <w:right w:val="none" w:sz="0" w:space="0" w:color="auto"/>
          </w:divBdr>
        </w:div>
      </w:divsChild>
    </w:div>
    <w:div w:id="397091765">
      <w:marLeft w:val="4"/>
      <w:marRight w:val="0"/>
      <w:marTop w:val="120"/>
      <w:marBottom w:val="0"/>
      <w:divBdr>
        <w:top w:val="none" w:sz="0" w:space="0" w:color="auto"/>
        <w:left w:val="none" w:sz="0" w:space="0" w:color="auto"/>
        <w:bottom w:val="none" w:sz="0" w:space="0" w:color="auto"/>
        <w:right w:val="none" w:sz="0" w:space="0" w:color="auto"/>
      </w:divBdr>
      <w:divsChild>
        <w:div w:id="681396380">
          <w:marLeft w:val="0"/>
          <w:marRight w:val="0"/>
          <w:marTop w:val="0"/>
          <w:marBottom w:val="0"/>
          <w:divBdr>
            <w:top w:val="none" w:sz="0" w:space="0" w:color="auto"/>
            <w:left w:val="none" w:sz="0" w:space="0" w:color="auto"/>
            <w:bottom w:val="none" w:sz="0" w:space="0" w:color="auto"/>
            <w:right w:val="none" w:sz="0" w:space="0" w:color="auto"/>
          </w:divBdr>
        </w:div>
      </w:divsChild>
    </w:div>
    <w:div w:id="442966290">
      <w:marLeft w:val="0"/>
      <w:marRight w:val="0"/>
      <w:marTop w:val="0"/>
      <w:marBottom w:val="0"/>
      <w:divBdr>
        <w:top w:val="none" w:sz="0" w:space="0" w:color="auto"/>
        <w:left w:val="none" w:sz="0" w:space="0" w:color="auto"/>
        <w:bottom w:val="none" w:sz="0" w:space="0" w:color="auto"/>
        <w:right w:val="none" w:sz="0" w:space="0" w:color="auto"/>
      </w:divBdr>
      <w:divsChild>
        <w:div w:id="956448206">
          <w:marLeft w:val="0"/>
          <w:marRight w:val="0"/>
          <w:marTop w:val="120"/>
          <w:marBottom w:val="0"/>
          <w:divBdr>
            <w:top w:val="none" w:sz="0" w:space="0" w:color="auto"/>
            <w:left w:val="none" w:sz="0" w:space="0" w:color="auto"/>
            <w:bottom w:val="none" w:sz="0" w:space="0" w:color="auto"/>
            <w:right w:val="none" w:sz="0" w:space="0" w:color="auto"/>
          </w:divBdr>
          <w:divsChild>
            <w:div w:id="4144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0916">
      <w:marLeft w:val="3"/>
      <w:marRight w:val="0"/>
      <w:marTop w:val="20"/>
      <w:marBottom w:val="0"/>
      <w:divBdr>
        <w:top w:val="none" w:sz="0" w:space="0" w:color="auto"/>
        <w:left w:val="none" w:sz="0" w:space="0" w:color="auto"/>
        <w:bottom w:val="none" w:sz="0" w:space="0" w:color="auto"/>
        <w:right w:val="none" w:sz="0" w:space="0" w:color="auto"/>
      </w:divBdr>
      <w:divsChild>
        <w:div w:id="640617550">
          <w:marLeft w:val="0"/>
          <w:marRight w:val="0"/>
          <w:marTop w:val="0"/>
          <w:marBottom w:val="0"/>
          <w:divBdr>
            <w:top w:val="none" w:sz="0" w:space="0" w:color="auto"/>
            <w:left w:val="none" w:sz="0" w:space="0" w:color="auto"/>
            <w:bottom w:val="none" w:sz="0" w:space="0" w:color="auto"/>
            <w:right w:val="none" w:sz="0" w:space="0" w:color="auto"/>
          </w:divBdr>
        </w:div>
      </w:divsChild>
    </w:div>
    <w:div w:id="498235568">
      <w:marLeft w:val="3"/>
      <w:marRight w:val="0"/>
      <w:marTop w:val="20"/>
      <w:marBottom w:val="0"/>
      <w:divBdr>
        <w:top w:val="none" w:sz="0" w:space="0" w:color="auto"/>
        <w:left w:val="none" w:sz="0" w:space="0" w:color="auto"/>
        <w:bottom w:val="none" w:sz="0" w:space="0" w:color="auto"/>
        <w:right w:val="none" w:sz="0" w:space="0" w:color="auto"/>
      </w:divBdr>
      <w:divsChild>
        <w:div w:id="902327121">
          <w:marLeft w:val="0"/>
          <w:marRight w:val="0"/>
          <w:marTop w:val="0"/>
          <w:marBottom w:val="0"/>
          <w:divBdr>
            <w:top w:val="none" w:sz="0" w:space="0" w:color="auto"/>
            <w:left w:val="none" w:sz="0" w:space="0" w:color="auto"/>
            <w:bottom w:val="none" w:sz="0" w:space="0" w:color="auto"/>
            <w:right w:val="none" w:sz="0" w:space="0" w:color="auto"/>
          </w:divBdr>
        </w:div>
      </w:divsChild>
    </w:div>
    <w:div w:id="528957077">
      <w:marLeft w:val="4"/>
      <w:marRight w:val="0"/>
      <w:marTop w:val="120"/>
      <w:marBottom w:val="0"/>
      <w:divBdr>
        <w:top w:val="none" w:sz="0" w:space="0" w:color="auto"/>
        <w:left w:val="none" w:sz="0" w:space="0" w:color="auto"/>
        <w:bottom w:val="none" w:sz="0" w:space="0" w:color="auto"/>
        <w:right w:val="none" w:sz="0" w:space="0" w:color="auto"/>
      </w:divBdr>
      <w:divsChild>
        <w:div w:id="1234973757">
          <w:marLeft w:val="0"/>
          <w:marRight w:val="0"/>
          <w:marTop w:val="0"/>
          <w:marBottom w:val="0"/>
          <w:divBdr>
            <w:top w:val="none" w:sz="0" w:space="0" w:color="auto"/>
            <w:left w:val="none" w:sz="0" w:space="0" w:color="auto"/>
            <w:bottom w:val="none" w:sz="0" w:space="0" w:color="auto"/>
            <w:right w:val="none" w:sz="0" w:space="0" w:color="auto"/>
          </w:divBdr>
        </w:div>
      </w:divsChild>
    </w:div>
    <w:div w:id="538396831">
      <w:marLeft w:val="0"/>
      <w:marRight w:val="0"/>
      <w:marTop w:val="0"/>
      <w:marBottom w:val="0"/>
      <w:divBdr>
        <w:top w:val="none" w:sz="0" w:space="0" w:color="auto"/>
        <w:left w:val="none" w:sz="0" w:space="0" w:color="auto"/>
        <w:bottom w:val="none" w:sz="0" w:space="0" w:color="auto"/>
        <w:right w:val="none" w:sz="0" w:space="0" w:color="auto"/>
      </w:divBdr>
      <w:divsChild>
        <w:div w:id="1833136324">
          <w:marLeft w:val="0"/>
          <w:marRight w:val="0"/>
          <w:marTop w:val="120"/>
          <w:marBottom w:val="0"/>
          <w:divBdr>
            <w:top w:val="none" w:sz="0" w:space="0" w:color="auto"/>
            <w:left w:val="none" w:sz="0" w:space="0" w:color="auto"/>
            <w:bottom w:val="none" w:sz="0" w:space="0" w:color="auto"/>
            <w:right w:val="none" w:sz="0" w:space="0" w:color="auto"/>
          </w:divBdr>
          <w:divsChild>
            <w:div w:id="1499226699">
              <w:marLeft w:val="0"/>
              <w:marRight w:val="0"/>
              <w:marTop w:val="0"/>
              <w:marBottom w:val="0"/>
              <w:divBdr>
                <w:top w:val="none" w:sz="0" w:space="0" w:color="auto"/>
                <w:left w:val="none" w:sz="0" w:space="0" w:color="auto"/>
                <w:bottom w:val="none" w:sz="0" w:space="0" w:color="auto"/>
                <w:right w:val="none" w:sz="0" w:space="0" w:color="auto"/>
              </w:divBdr>
            </w:div>
          </w:divsChild>
        </w:div>
        <w:div w:id="1437367675">
          <w:marLeft w:val="0"/>
          <w:marRight w:val="0"/>
          <w:marTop w:val="0"/>
          <w:marBottom w:val="0"/>
          <w:divBdr>
            <w:top w:val="none" w:sz="0" w:space="0" w:color="auto"/>
            <w:left w:val="none" w:sz="0" w:space="0" w:color="auto"/>
            <w:bottom w:val="none" w:sz="0" w:space="0" w:color="auto"/>
            <w:right w:val="none" w:sz="0" w:space="0" w:color="auto"/>
          </w:divBdr>
        </w:div>
        <w:div w:id="512768465">
          <w:marLeft w:val="0"/>
          <w:marRight w:val="0"/>
          <w:marTop w:val="0"/>
          <w:marBottom w:val="0"/>
          <w:divBdr>
            <w:top w:val="none" w:sz="0" w:space="0" w:color="auto"/>
            <w:left w:val="none" w:sz="0" w:space="0" w:color="auto"/>
            <w:bottom w:val="none" w:sz="0" w:space="0" w:color="auto"/>
            <w:right w:val="none" w:sz="0" w:space="0" w:color="auto"/>
          </w:divBdr>
        </w:div>
      </w:divsChild>
    </w:div>
    <w:div w:id="550582639">
      <w:marLeft w:val="4"/>
      <w:marRight w:val="0"/>
      <w:marTop w:val="120"/>
      <w:marBottom w:val="0"/>
      <w:divBdr>
        <w:top w:val="none" w:sz="0" w:space="0" w:color="auto"/>
        <w:left w:val="none" w:sz="0" w:space="0" w:color="auto"/>
        <w:bottom w:val="none" w:sz="0" w:space="0" w:color="auto"/>
        <w:right w:val="none" w:sz="0" w:space="0" w:color="auto"/>
      </w:divBdr>
      <w:divsChild>
        <w:div w:id="1516269133">
          <w:marLeft w:val="0"/>
          <w:marRight w:val="0"/>
          <w:marTop w:val="0"/>
          <w:marBottom w:val="0"/>
          <w:divBdr>
            <w:top w:val="none" w:sz="0" w:space="0" w:color="auto"/>
            <w:left w:val="none" w:sz="0" w:space="0" w:color="auto"/>
            <w:bottom w:val="none" w:sz="0" w:space="0" w:color="auto"/>
            <w:right w:val="none" w:sz="0" w:space="0" w:color="auto"/>
          </w:divBdr>
        </w:div>
      </w:divsChild>
    </w:div>
    <w:div w:id="571045851">
      <w:marLeft w:val="4"/>
      <w:marRight w:val="0"/>
      <w:marTop w:val="120"/>
      <w:marBottom w:val="0"/>
      <w:divBdr>
        <w:top w:val="none" w:sz="0" w:space="0" w:color="auto"/>
        <w:left w:val="none" w:sz="0" w:space="0" w:color="auto"/>
        <w:bottom w:val="none" w:sz="0" w:space="0" w:color="auto"/>
        <w:right w:val="none" w:sz="0" w:space="0" w:color="auto"/>
      </w:divBdr>
      <w:divsChild>
        <w:div w:id="317271598">
          <w:marLeft w:val="0"/>
          <w:marRight w:val="0"/>
          <w:marTop w:val="0"/>
          <w:marBottom w:val="0"/>
          <w:divBdr>
            <w:top w:val="none" w:sz="0" w:space="0" w:color="auto"/>
            <w:left w:val="none" w:sz="0" w:space="0" w:color="auto"/>
            <w:bottom w:val="none" w:sz="0" w:space="0" w:color="auto"/>
            <w:right w:val="none" w:sz="0" w:space="0" w:color="auto"/>
          </w:divBdr>
        </w:div>
      </w:divsChild>
    </w:div>
    <w:div w:id="600603318">
      <w:marLeft w:val="4"/>
      <w:marRight w:val="0"/>
      <w:marTop w:val="120"/>
      <w:marBottom w:val="0"/>
      <w:divBdr>
        <w:top w:val="none" w:sz="0" w:space="0" w:color="auto"/>
        <w:left w:val="none" w:sz="0" w:space="0" w:color="auto"/>
        <w:bottom w:val="none" w:sz="0" w:space="0" w:color="auto"/>
        <w:right w:val="none" w:sz="0" w:space="0" w:color="auto"/>
      </w:divBdr>
      <w:divsChild>
        <w:div w:id="1356419532">
          <w:marLeft w:val="0"/>
          <w:marRight w:val="0"/>
          <w:marTop w:val="0"/>
          <w:marBottom w:val="0"/>
          <w:divBdr>
            <w:top w:val="none" w:sz="0" w:space="0" w:color="auto"/>
            <w:left w:val="none" w:sz="0" w:space="0" w:color="auto"/>
            <w:bottom w:val="none" w:sz="0" w:space="0" w:color="auto"/>
            <w:right w:val="none" w:sz="0" w:space="0" w:color="auto"/>
          </w:divBdr>
        </w:div>
      </w:divsChild>
    </w:div>
    <w:div w:id="620455690">
      <w:marLeft w:val="4"/>
      <w:marRight w:val="0"/>
      <w:marTop w:val="120"/>
      <w:marBottom w:val="0"/>
      <w:divBdr>
        <w:top w:val="none" w:sz="0" w:space="0" w:color="auto"/>
        <w:left w:val="none" w:sz="0" w:space="0" w:color="auto"/>
        <w:bottom w:val="none" w:sz="0" w:space="0" w:color="auto"/>
        <w:right w:val="none" w:sz="0" w:space="0" w:color="auto"/>
      </w:divBdr>
      <w:divsChild>
        <w:div w:id="601911705">
          <w:marLeft w:val="0"/>
          <w:marRight w:val="0"/>
          <w:marTop w:val="0"/>
          <w:marBottom w:val="0"/>
          <w:divBdr>
            <w:top w:val="none" w:sz="0" w:space="0" w:color="auto"/>
            <w:left w:val="none" w:sz="0" w:space="0" w:color="auto"/>
            <w:bottom w:val="none" w:sz="0" w:space="0" w:color="auto"/>
            <w:right w:val="none" w:sz="0" w:space="0" w:color="auto"/>
          </w:divBdr>
        </w:div>
      </w:divsChild>
    </w:div>
    <w:div w:id="629747264">
      <w:marLeft w:val="3"/>
      <w:marRight w:val="0"/>
      <w:marTop w:val="0"/>
      <w:marBottom w:val="0"/>
      <w:divBdr>
        <w:top w:val="none" w:sz="0" w:space="0" w:color="auto"/>
        <w:left w:val="none" w:sz="0" w:space="0" w:color="auto"/>
        <w:bottom w:val="none" w:sz="0" w:space="0" w:color="auto"/>
        <w:right w:val="none" w:sz="0" w:space="0" w:color="auto"/>
      </w:divBdr>
      <w:divsChild>
        <w:div w:id="1437367012">
          <w:marLeft w:val="0"/>
          <w:marRight w:val="0"/>
          <w:marTop w:val="0"/>
          <w:marBottom w:val="0"/>
          <w:divBdr>
            <w:top w:val="none" w:sz="0" w:space="0" w:color="auto"/>
            <w:left w:val="none" w:sz="0" w:space="0" w:color="auto"/>
            <w:bottom w:val="none" w:sz="0" w:space="0" w:color="auto"/>
            <w:right w:val="none" w:sz="0" w:space="0" w:color="auto"/>
          </w:divBdr>
        </w:div>
      </w:divsChild>
    </w:div>
    <w:div w:id="669528362">
      <w:marLeft w:val="3"/>
      <w:marRight w:val="0"/>
      <w:marTop w:val="20"/>
      <w:marBottom w:val="0"/>
      <w:divBdr>
        <w:top w:val="none" w:sz="0" w:space="0" w:color="auto"/>
        <w:left w:val="none" w:sz="0" w:space="0" w:color="auto"/>
        <w:bottom w:val="none" w:sz="0" w:space="0" w:color="auto"/>
        <w:right w:val="none" w:sz="0" w:space="0" w:color="auto"/>
      </w:divBdr>
      <w:divsChild>
        <w:div w:id="480854745">
          <w:marLeft w:val="0"/>
          <w:marRight w:val="0"/>
          <w:marTop w:val="0"/>
          <w:marBottom w:val="0"/>
          <w:divBdr>
            <w:top w:val="none" w:sz="0" w:space="0" w:color="auto"/>
            <w:left w:val="none" w:sz="0" w:space="0" w:color="auto"/>
            <w:bottom w:val="none" w:sz="0" w:space="0" w:color="auto"/>
            <w:right w:val="none" w:sz="0" w:space="0" w:color="auto"/>
          </w:divBdr>
        </w:div>
      </w:divsChild>
    </w:div>
    <w:div w:id="670180682">
      <w:marLeft w:val="4"/>
      <w:marRight w:val="0"/>
      <w:marTop w:val="120"/>
      <w:marBottom w:val="0"/>
      <w:divBdr>
        <w:top w:val="none" w:sz="0" w:space="0" w:color="auto"/>
        <w:left w:val="none" w:sz="0" w:space="0" w:color="auto"/>
        <w:bottom w:val="none" w:sz="0" w:space="0" w:color="auto"/>
        <w:right w:val="none" w:sz="0" w:space="0" w:color="auto"/>
      </w:divBdr>
      <w:divsChild>
        <w:div w:id="439112084">
          <w:marLeft w:val="0"/>
          <w:marRight w:val="0"/>
          <w:marTop w:val="0"/>
          <w:marBottom w:val="0"/>
          <w:divBdr>
            <w:top w:val="none" w:sz="0" w:space="0" w:color="auto"/>
            <w:left w:val="none" w:sz="0" w:space="0" w:color="auto"/>
            <w:bottom w:val="none" w:sz="0" w:space="0" w:color="auto"/>
            <w:right w:val="none" w:sz="0" w:space="0" w:color="auto"/>
          </w:divBdr>
        </w:div>
      </w:divsChild>
    </w:div>
    <w:div w:id="677578897">
      <w:marLeft w:val="3"/>
      <w:marRight w:val="0"/>
      <w:marTop w:val="20"/>
      <w:marBottom w:val="0"/>
      <w:divBdr>
        <w:top w:val="none" w:sz="0" w:space="0" w:color="auto"/>
        <w:left w:val="none" w:sz="0" w:space="0" w:color="auto"/>
        <w:bottom w:val="none" w:sz="0" w:space="0" w:color="auto"/>
        <w:right w:val="none" w:sz="0" w:space="0" w:color="auto"/>
      </w:divBdr>
      <w:divsChild>
        <w:div w:id="2136486937">
          <w:marLeft w:val="0"/>
          <w:marRight w:val="0"/>
          <w:marTop w:val="0"/>
          <w:marBottom w:val="0"/>
          <w:divBdr>
            <w:top w:val="none" w:sz="0" w:space="0" w:color="auto"/>
            <w:left w:val="none" w:sz="0" w:space="0" w:color="auto"/>
            <w:bottom w:val="none" w:sz="0" w:space="0" w:color="auto"/>
            <w:right w:val="none" w:sz="0" w:space="0" w:color="auto"/>
          </w:divBdr>
        </w:div>
      </w:divsChild>
    </w:div>
    <w:div w:id="723144123">
      <w:marLeft w:val="3"/>
      <w:marRight w:val="0"/>
      <w:marTop w:val="20"/>
      <w:marBottom w:val="0"/>
      <w:divBdr>
        <w:top w:val="none" w:sz="0" w:space="0" w:color="auto"/>
        <w:left w:val="none" w:sz="0" w:space="0" w:color="auto"/>
        <w:bottom w:val="none" w:sz="0" w:space="0" w:color="auto"/>
        <w:right w:val="none" w:sz="0" w:space="0" w:color="auto"/>
      </w:divBdr>
      <w:divsChild>
        <w:div w:id="1254975576">
          <w:marLeft w:val="0"/>
          <w:marRight w:val="0"/>
          <w:marTop w:val="0"/>
          <w:marBottom w:val="0"/>
          <w:divBdr>
            <w:top w:val="none" w:sz="0" w:space="0" w:color="auto"/>
            <w:left w:val="none" w:sz="0" w:space="0" w:color="auto"/>
            <w:bottom w:val="none" w:sz="0" w:space="0" w:color="auto"/>
            <w:right w:val="none" w:sz="0" w:space="0" w:color="auto"/>
          </w:divBdr>
        </w:div>
      </w:divsChild>
    </w:div>
    <w:div w:id="725908701">
      <w:marLeft w:val="4"/>
      <w:marRight w:val="0"/>
      <w:marTop w:val="120"/>
      <w:marBottom w:val="0"/>
      <w:divBdr>
        <w:top w:val="none" w:sz="0" w:space="0" w:color="auto"/>
        <w:left w:val="none" w:sz="0" w:space="0" w:color="auto"/>
        <w:bottom w:val="none" w:sz="0" w:space="0" w:color="auto"/>
        <w:right w:val="none" w:sz="0" w:space="0" w:color="auto"/>
      </w:divBdr>
      <w:divsChild>
        <w:div w:id="1697652332">
          <w:marLeft w:val="0"/>
          <w:marRight w:val="0"/>
          <w:marTop w:val="0"/>
          <w:marBottom w:val="0"/>
          <w:divBdr>
            <w:top w:val="none" w:sz="0" w:space="0" w:color="auto"/>
            <w:left w:val="none" w:sz="0" w:space="0" w:color="auto"/>
            <w:bottom w:val="none" w:sz="0" w:space="0" w:color="auto"/>
            <w:right w:val="none" w:sz="0" w:space="0" w:color="auto"/>
          </w:divBdr>
        </w:div>
      </w:divsChild>
    </w:div>
    <w:div w:id="733090373">
      <w:marLeft w:val="3"/>
      <w:marRight w:val="0"/>
      <w:marTop w:val="20"/>
      <w:marBottom w:val="0"/>
      <w:divBdr>
        <w:top w:val="none" w:sz="0" w:space="0" w:color="auto"/>
        <w:left w:val="none" w:sz="0" w:space="0" w:color="auto"/>
        <w:bottom w:val="none" w:sz="0" w:space="0" w:color="auto"/>
        <w:right w:val="none" w:sz="0" w:space="0" w:color="auto"/>
      </w:divBdr>
      <w:divsChild>
        <w:div w:id="868103460">
          <w:marLeft w:val="0"/>
          <w:marRight w:val="0"/>
          <w:marTop w:val="0"/>
          <w:marBottom w:val="0"/>
          <w:divBdr>
            <w:top w:val="none" w:sz="0" w:space="0" w:color="auto"/>
            <w:left w:val="none" w:sz="0" w:space="0" w:color="auto"/>
            <w:bottom w:val="none" w:sz="0" w:space="0" w:color="auto"/>
            <w:right w:val="none" w:sz="0" w:space="0" w:color="auto"/>
          </w:divBdr>
        </w:div>
      </w:divsChild>
    </w:div>
    <w:div w:id="747653921">
      <w:marLeft w:val="4"/>
      <w:marRight w:val="0"/>
      <w:marTop w:val="120"/>
      <w:marBottom w:val="0"/>
      <w:divBdr>
        <w:top w:val="none" w:sz="0" w:space="0" w:color="auto"/>
        <w:left w:val="none" w:sz="0" w:space="0" w:color="auto"/>
        <w:bottom w:val="none" w:sz="0" w:space="0" w:color="auto"/>
        <w:right w:val="none" w:sz="0" w:space="0" w:color="auto"/>
      </w:divBdr>
      <w:divsChild>
        <w:div w:id="1112091592">
          <w:marLeft w:val="0"/>
          <w:marRight w:val="0"/>
          <w:marTop w:val="0"/>
          <w:marBottom w:val="0"/>
          <w:divBdr>
            <w:top w:val="none" w:sz="0" w:space="0" w:color="auto"/>
            <w:left w:val="none" w:sz="0" w:space="0" w:color="auto"/>
            <w:bottom w:val="none" w:sz="0" w:space="0" w:color="auto"/>
            <w:right w:val="none" w:sz="0" w:space="0" w:color="auto"/>
          </w:divBdr>
        </w:div>
      </w:divsChild>
    </w:div>
    <w:div w:id="751200241">
      <w:marLeft w:val="4"/>
      <w:marRight w:val="0"/>
      <w:marTop w:val="0"/>
      <w:marBottom w:val="0"/>
      <w:divBdr>
        <w:top w:val="none" w:sz="0" w:space="0" w:color="auto"/>
        <w:left w:val="none" w:sz="0" w:space="0" w:color="auto"/>
        <w:bottom w:val="none" w:sz="0" w:space="0" w:color="auto"/>
        <w:right w:val="none" w:sz="0" w:space="0" w:color="auto"/>
      </w:divBdr>
      <w:divsChild>
        <w:div w:id="2096632784">
          <w:marLeft w:val="0"/>
          <w:marRight w:val="0"/>
          <w:marTop w:val="0"/>
          <w:marBottom w:val="0"/>
          <w:divBdr>
            <w:top w:val="none" w:sz="0" w:space="0" w:color="auto"/>
            <w:left w:val="none" w:sz="0" w:space="0" w:color="auto"/>
            <w:bottom w:val="none" w:sz="0" w:space="0" w:color="auto"/>
            <w:right w:val="none" w:sz="0" w:space="0" w:color="auto"/>
          </w:divBdr>
        </w:div>
      </w:divsChild>
    </w:div>
    <w:div w:id="767702611">
      <w:marLeft w:val="4"/>
      <w:marRight w:val="0"/>
      <w:marTop w:val="120"/>
      <w:marBottom w:val="0"/>
      <w:divBdr>
        <w:top w:val="none" w:sz="0" w:space="0" w:color="auto"/>
        <w:left w:val="none" w:sz="0" w:space="0" w:color="auto"/>
        <w:bottom w:val="none" w:sz="0" w:space="0" w:color="auto"/>
        <w:right w:val="none" w:sz="0" w:space="0" w:color="auto"/>
      </w:divBdr>
      <w:divsChild>
        <w:div w:id="628509746">
          <w:marLeft w:val="0"/>
          <w:marRight w:val="0"/>
          <w:marTop w:val="0"/>
          <w:marBottom w:val="0"/>
          <w:divBdr>
            <w:top w:val="none" w:sz="0" w:space="0" w:color="auto"/>
            <w:left w:val="none" w:sz="0" w:space="0" w:color="auto"/>
            <w:bottom w:val="none" w:sz="0" w:space="0" w:color="auto"/>
            <w:right w:val="none" w:sz="0" w:space="0" w:color="auto"/>
          </w:divBdr>
        </w:div>
      </w:divsChild>
    </w:div>
    <w:div w:id="776143765">
      <w:marLeft w:val="4"/>
      <w:marRight w:val="0"/>
      <w:marTop w:val="120"/>
      <w:marBottom w:val="0"/>
      <w:divBdr>
        <w:top w:val="none" w:sz="0" w:space="0" w:color="auto"/>
        <w:left w:val="none" w:sz="0" w:space="0" w:color="auto"/>
        <w:bottom w:val="none" w:sz="0" w:space="0" w:color="auto"/>
        <w:right w:val="none" w:sz="0" w:space="0" w:color="auto"/>
      </w:divBdr>
      <w:divsChild>
        <w:div w:id="1521892447">
          <w:marLeft w:val="0"/>
          <w:marRight w:val="0"/>
          <w:marTop w:val="0"/>
          <w:marBottom w:val="0"/>
          <w:divBdr>
            <w:top w:val="none" w:sz="0" w:space="0" w:color="auto"/>
            <w:left w:val="none" w:sz="0" w:space="0" w:color="auto"/>
            <w:bottom w:val="none" w:sz="0" w:space="0" w:color="auto"/>
            <w:right w:val="none" w:sz="0" w:space="0" w:color="auto"/>
          </w:divBdr>
        </w:div>
      </w:divsChild>
    </w:div>
    <w:div w:id="778916697">
      <w:marLeft w:val="4"/>
      <w:marRight w:val="0"/>
      <w:marTop w:val="120"/>
      <w:marBottom w:val="0"/>
      <w:divBdr>
        <w:top w:val="none" w:sz="0" w:space="0" w:color="auto"/>
        <w:left w:val="none" w:sz="0" w:space="0" w:color="auto"/>
        <w:bottom w:val="none" w:sz="0" w:space="0" w:color="auto"/>
        <w:right w:val="none" w:sz="0" w:space="0" w:color="auto"/>
      </w:divBdr>
      <w:divsChild>
        <w:div w:id="1075585745">
          <w:marLeft w:val="0"/>
          <w:marRight w:val="0"/>
          <w:marTop w:val="0"/>
          <w:marBottom w:val="0"/>
          <w:divBdr>
            <w:top w:val="none" w:sz="0" w:space="0" w:color="auto"/>
            <w:left w:val="none" w:sz="0" w:space="0" w:color="auto"/>
            <w:bottom w:val="none" w:sz="0" w:space="0" w:color="auto"/>
            <w:right w:val="none" w:sz="0" w:space="0" w:color="auto"/>
          </w:divBdr>
        </w:div>
      </w:divsChild>
    </w:div>
    <w:div w:id="782261358">
      <w:marLeft w:val="3"/>
      <w:marRight w:val="0"/>
      <w:marTop w:val="20"/>
      <w:marBottom w:val="0"/>
      <w:divBdr>
        <w:top w:val="none" w:sz="0" w:space="0" w:color="auto"/>
        <w:left w:val="none" w:sz="0" w:space="0" w:color="auto"/>
        <w:bottom w:val="none" w:sz="0" w:space="0" w:color="auto"/>
        <w:right w:val="none" w:sz="0" w:space="0" w:color="auto"/>
      </w:divBdr>
      <w:divsChild>
        <w:div w:id="2079089509">
          <w:marLeft w:val="0"/>
          <w:marRight w:val="0"/>
          <w:marTop w:val="0"/>
          <w:marBottom w:val="0"/>
          <w:divBdr>
            <w:top w:val="none" w:sz="0" w:space="0" w:color="auto"/>
            <w:left w:val="none" w:sz="0" w:space="0" w:color="auto"/>
            <w:bottom w:val="none" w:sz="0" w:space="0" w:color="auto"/>
            <w:right w:val="none" w:sz="0" w:space="0" w:color="auto"/>
          </w:divBdr>
        </w:div>
      </w:divsChild>
    </w:div>
    <w:div w:id="793133367">
      <w:marLeft w:val="3"/>
      <w:marRight w:val="0"/>
      <w:marTop w:val="20"/>
      <w:marBottom w:val="0"/>
      <w:divBdr>
        <w:top w:val="none" w:sz="0" w:space="0" w:color="auto"/>
        <w:left w:val="none" w:sz="0" w:space="0" w:color="auto"/>
        <w:bottom w:val="none" w:sz="0" w:space="0" w:color="auto"/>
        <w:right w:val="none" w:sz="0" w:space="0" w:color="auto"/>
      </w:divBdr>
      <w:divsChild>
        <w:div w:id="1020542885">
          <w:marLeft w:val="0"/>
          <w:marRight w:val="0"/>
          <w:marTop w:val="0"/>
          <w:marBottom w:val="0"/>
          <w:divBdr>
            <w:top w:val="none" w:sz="0" w:space="0" w:color="auto"/>
            <w:left w:val="none" w:sz="0" w:space="0" w:color="auto"/>
            <w:bottom w:val="none" w:sz="0" w:space="0" w:color="auto"/>
            <w:right w:val="none" w:sz="0" w:space="0" w:color="auto"/>
          </w:divBdr>
        </w:div>
      </w:divsChild>
    </w:div>
    <w:div w:id="793715880">
      <w:marLeft w:val="4"/>
      <w:marRight w:val="0"/>
      <w:marTop w:val="120"/>
      <w:marBottom w:val="0"/>
      <w:divBdr>
        <w:top w:val="none" w:sz="0" w:space="0" w:color="auto"/>
        <w:left w:val="none" w:sz="0" w:space="0" w:color="auto"/>
        <w:bottom w:val="none" w:sz="0" w:space="0" w:color="auto"/>
        <w:right w:val="none" w:sz="0" w:space="0" w:color="auto"/>
      </w:divBdr>
      <w:divsChild>
        <w:div w:id="1059592665">
          <w:marLeft w:val="0"/>
          <w:marRight w:val="0"/>
          <w:marTop w:val="0"/>
          <w:marBottom w:val="0"/>
          <w:divBdr>
            <w:top w:val="none" w:sz="0" w:space="0" w:color="auto"/>
            <w:left w:val="none" w:sz="0" w:space="0" w:color="auto"/>
            <w:bottom w:val="none" w:sz="0" w:space="0" w:color="auto"/>
            <w:right w:val="none" w:sz="0" w:space="0" w:color="auto"/>
          </w:divBdr>
        </w:div>
      </w:divsChild>
    </w:div>
    <w:div w:id="798693665">
      <w:marLeft w:val="3"/>
      <w:marRight w:val="0"/>
      <w:marTop w:val="20"/>
      <w:marBottom w:val="0"/>
      <w:divBdr>
        <w:top w:val="none" w:sz="0" w:space="0" w:color="auto"/>
        <w:left w:val="none" w:sz="0" w:space="0" w:color="auto"/>
        <w:bottom w:val="none" w:sz="0" w:space="0" w:color="auto"/>
        <w:right w:val="none" w:sz="0" w:space="0" w:color="auto"/>
      </w:divBdr>
      <w:divsChild>
        <w:div w:id="181629467">
          <w:marLeft w:val="0"/>
          <w:marRight w:val="0"/>
          <w:marTop w:val="0"/>
          <w:marBottom w:val="0"/>
          <w:divBdr>
            <w:top w:val="none" w:sz="0" w:space="0" w:color="auto"/>
            <w:left w:val="none" w:sz="0" w:space="0" w:color="auto"/>
            <w:bottom w:val="none" w:sz="0" w:space="0" w:color="auto"/>
            <w:right w:val="none" w:sz="0" w:space="0" w:color="auto"/>
          </w:divBdr>
        </w:div>
      </w:divsChild>
    </w:div>
    <w:div w:id="801115176">
      <w:marLeft w:val="4"/>
      <w:marRight w:val="0"/>
      <w:marTop w:val="0"/>
      <w:marBottom w:val="0"/>
      <w:divBdr>
        <w:top w:val="none" w:sz="0" w:space="0" w:color="auto"/>
        <w:left w:val="none" w:sz="0" w:space="0" w:color="auto"/>
        <w:bottom w:val="none" w:sz="0" w:space="0" w:color="auto"/>
        <w:right w:val="none" w:sz="0" w:space="0" w:color="auto"/>
      </w:divBdr>
      <w:divsChild>
        <w:div w:id="422724847">
          <w:marLeft w:val="0"/>
          <w:marRight w:val="0"/>
          <w:marTop w:val="0"/>
          <w:marBottom w:val="0"/>
          <w:divBdr>
            <w:top w:val="none" w:sz="0" w:space="0" w:color="auto"/>
            <w:left w:val="none" w:sz="0" w:space="0" w:color="auto"/>
            <w:bottom w:val="none" w:sz="0" w:space="0" w:color="auto"/>
            <w:right w:val="none" w:sz="0" w:space="0" w:color="auto"/>
          </w:divBdr>
        </w:div>
      </w:divsChild>
    </w:div>
    <w:div w:id="821194087">
      <w:marLeft w:val="4"/>
      <w:marRight w:val="0"/>
      <w:marTop w:val="120"/>
      <w:marBottom w:val="0"/>
      <w:divBdr>
        <w:top w:val="none" w:sz="0" w:space="0" w:color="auto"/>
        <w:left w:val="none" w:sz="0" w:space="0" w:color="auto"/>
        <w:bottom w:val="none" w:sz="0" w:space="0" w:color="auto"/>
        <w:right w:val="none" w:sz="0" w:space="0" w:color="auto"/>
      </w:divBdr>
      <w:divsChild>
        <w:div w:id="1295519856">
          <w:marLeft w:val="0"/>
          <w:marRight w:val="0"/>
          <w:marTop w:val="0"/>
          <w:marBottom w:val="0"/>
          <w:divBdr>
            <w:top w:val="none" w:sz="0" w:space="0" w:color="auto"/>
            <w:left w:val="none" w:sz="0" w:space="0" w:color="auto"/>
            <w:bottom w:val="none" w:sz="0" w:space="0" w:color="auto"/>
            <w:right w:val="none" w:sz="0" w:space="0" w:color="auto"/>
          </w:divBdr>
        </w:div>
      </w:divsChild>
    </w:div>
    <w:div w:id="827405312">
      <w:marLeft w:val="4"/>
      <w:marRight w:val="0"/>
      <w:marTop w:val="120"/>
      <w:marBottom w:val="0"/>
      <w:divBdr>
        <w:top w:val="none" w:sz="0" w:space="0" w:color="auto"/>
        <w:left w:val="none" w:sz="0" w:space="0" w:color="auto"/>
        <w:bottom w:val="none" w:sz="0" w:space="0" w:color="auto"/>
        <w:right w:val="none" w:sz="0" w:space="0" w:color="auto"/>
      </w:divBdr>
      <w:divsChild>
        <w:div w:id="1540051585">
          <w:marLeft w:val="0"/>
          <w:marRight w:val="0"/>
          <w:marTop w:val="0"/>
          <w:marBottom w:val="0"/>
          <w:divBdr>
            <w:top w:val="none" w:sz="0" w:space="0" w:color="auto"/>
            <w:left w:val="none" w:sz="0" w:space="0" w:color="auto"/>
            <w:bottom w:val="none" w:sz="0" w:space="0" w:color="auto"/>
            <w:right w:val="none" w:sz="0" w:space="0" w:color="auto"/>
          </w:divBdr>
        </w:div>
      </w:divsChild>
    </w:div>
    <w:div w:id="844515091">
      <w:marLeft w:val="0"/>
      <w:marRight w:val="0"/>
      <w:marTop w:val="0"/>
      <w:marBottom w:val="0"/>
      <w:divBdr>
        <w:top w:val="none" w:sz="0" w:space="0" w:color="auto"/>
        <w:left w:val="none" w:sz="0" w:space="0" w:color="auto"/>
        <w:bottom w:val="none" w:sz="0" w:space="0" w:color="auto"/>
        <w:right w:val="none" w:sz="0" w:space="0" w:color="auto"/>
      </w:divBdr>
      <w:divsChild>
        <w:div w:id="272445361">
          <w:marLeft w:val="0"/>
          <w:marRight w:val="0"/>
          <w:marTop w:val="120"/>
          <w:marBottom w:val="0"/>
          <w:divBdr>
            <w:top w:val="none" w:sz="0" w:space="0" w:color="auto"/>
            <w:left w:val="none" w:sz="0" w:space="0" w:color="auto"/>
            <w:bottom w:val="none" w:sz="0" w:space="0" w:color="auto"/>
            <w:right w:val="none" w:sz="0" w:space="0" w:color="auto"/>
          </w:divBdr>
          <w:divsChild>
            <w:div w:id="9165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2601">
      <w:marLeft w:val="0"/>
      <w:marRight w:val="0"/>
      <w:marTop w:val="0"/>
      <w:marBottom w:val="0"/>
      <w:divBdr>
        <w:top w:val="none" w:sz="0" w:space="0" w:color="auto"/>
        <w:left w:val="none" w:sz="0" w:space="0" w:color="auto"/>
        <w:bottom w:val="none" w:sz="0" w:space="0" w:color="auto"/>
        <w:right w:val="none" w:sz="0" w:space="0" w:color="auto"/>
      </w:divBdr>
      <w:divsChild>
        <w:div w:id="394664850">
          <w:marLeft w:val="0"/>
          <w:marRight w:val="0"/>
          <w:marTop w:val="120"/>
          <w:marBottom w:val="0"/>
          <w:divBdr>
            <w:top w:val="none" w:sz="0" w:space="0" w:color="auto"/>
            <w:left w:val="none" w:sz="0" w:space="0" w:color="auto"/>
            <w:bottom w:val="none" w:sz="0" w:space="0" w:color="auto"/>
            <w:right w:val="none" w:sz="0" w:space="0" w:color="auto"/>
          </w:divBdr>
          <w:divsChild>
            <w:div w:id="1413505882">
              <w:marLeft w:val="0"/>
              <w:marRight w:val="0"/>
              <w:marTop w:val="0"/>
              <w:marBottom w:val="0"/>
              <w:divBdr>
                <w:top w:val="none" w:sz="0" w:space="0" w:color="auto"/>
                <w:left w:val="none" w:sz="0" w:space="0" w:color="auto"/>
                <w:bottom w:val="none" w:sz="0" w:space="0" w:color="auto"/>
                <w:right w:val="none" w:sz="0" w:space="0" w:color="auto"/>
              </w:divBdr>
            </w:div>
          </w:divsChild>
        </w:div>
        <w:div w:id="418798511">
          <w:marLeft w:val="0"/>
          <w:marRight w:val="0"/>
          <w:marTop w:val="0"/>
          <w:marBottom w:val="0"/>
          <w:divBdr>
            <w:top w:val="none" w:sz="0" w:space="0" w:color="auto"/>
            <w:left w:val="none" w:sz="0" w:space="0" w:color="auto"/>
            <w:bottom w:val="none" w:sz="0" w:space="0" w:color="auto"/>
            <w:right w:val="none" w:sz="0" w:space="0" w:color="auto"/>
          </w:divBdr>
        </w:div>
        <w:div w:id="335814823">
          <w:marLeft w:val="0"/>
          <w:marRight w:val="0"/>
          <w:marTop w:val="0"/>
          <w:marBottom w:val="0"/>
          <w:divBdr>
            <w:top w:val="none" w:sz="0" w:space="0" w:color="auto"/>
            <w:left w:val="none" w:sz="0" w:space="0" w:color="auto"/>
            <w:bottom w:val="none" w:sz="0" w:space="0" w:color="auto"/>
            <w:right w:val="none" w:sz="0" w:space="0" w:color="auto"/>
          </w:divBdr>
        </w:div>
      </w:divsChild>
    </w:div>
    <w:div w:id="900753648">
      <w:marLeft w:val="3"/>
      <w:marRight w:val="0"/>
      <w:marTop w:val="20"/>
      <w:marBottom w:val="0"/>
      <w:divBdr>
        <w:top w:val="none" w:sz="0" w:space="0" w:color="auto"/>
        <w:left w:val="none" w:sz="0" w:space="0" w:color="auto"/>
        <w:bottom w:val="none" w:sz="0" w:space="0" w:color="auto"/>
        <w:right w:val="none" w:sz="0" w:space="0" w:color="auto"/>
      </w:divBdr>
      <w:divsChild>
        <w:div w:id="1294092798">
          <w:marLeft w:val="0"/>
          <w:marRight w:val="0"/>
          <w:marTop w:val="0"/>
          <w:marBottom w:val="0"/>
          <w:divBdr>
            <w:top w:val="none" w:sz="0" w:space="0" w:color="auto"/>
            <w:left w:val="none" w:sz="0" w:space="0" w:color="auto"/>
            <w:bottom w:val="none" w:sz="0" w:space="0" w:color="auto"/>
            <w:right w:val="none" w:sz="0" w:space="0" w:color="auto"/>
          </w:divBdr>
        </w:div>
      </w:divsChild>
    </w:div>
    <w:div w:id="918949160">
      <w:marLeft w:val="4"/>
      <w:marRight w:val="0"/>
      <w:marTop w:val="120"/>
      <w:marBottom w:val="0"/>
      <w:divBdr>
        <w:top w:val="none" w:sz="0" w:space="0" w:color="auto"/>
        <w:left w:val="none" w:sz="0" w:space="0" w:color="auto"/>
        <w:bottom w:val="none" w:sz="0" w:space="0" w:color="auto"/>
        <w:right w:val="none" w:sz="0" w:space="0" w:color="auto"/>
      </w:divBdr>
      <w:divsChild>
        <w:div w:id="1226992439">
          <w:marLeft w:val="0"/>
          <w:marRight w:val="0"/>
          <w:marTop w:val="0"/>
          <w:marBottom w:val="0"/>
          <w:divBdr>
            <w:top w:val="none" w:sz="0" w:space="0" w:color="auto"/>
            <w:left w:val="none" w:sz="0" w:space="0" w:color="auto"/>
            <w:bottom w:val="none" w:sz="0" w:space="0" w:color="auto"/>
            <w:right w:val="none" w:sz="0" w:space="0" w:color="auto"/>
          </w:divBdr>
        </w:div>
      </w:divsChild>
    </w:div>
    <w:div w:id="947389500">
      <w:marLeft w:val="4"/>
      <w:marRight w:val="0"/>
      <w:marTop w:val="120"/>
      <w:marBottom w:val="0"/>
      <w:divBdr>
        <w:top w:val="none" w:sz="0" w:space="0" w:color="auto"/>
        <w:left w:val="none" w:sz="0" w:space="0" w:color="auto"/>
        <w:bottom w:val="none" w:sz="0" w:space="0" w:color="auto"/>
        <w:right w:val="none" w:sz="0" w:space="0" w:color="auto"/>
      </w:divBdr>
      <w:divsChild>
        <w:div w:id="1016736839">
          <w:marLeft w:val="0"/>
          <w:marRight w:val="0"/>
          <w:marTop w:val="0"/>
          <w:marBottom w:val="0"/>
          <w:divBdr>
            <w:top w:val="none" w:sz="0" w:space="0" w:color="auto"/>
            <w:left w:val="none" w:sz="0" w:space="0" w:color="auto"/>
            <w:bottom w:val="none" w:sz="0" w:space="0" w:color="auto"/>
            <w:right w:val="none" w:sz="0" w:space="0" w:color="auto"/>
          </w:divBdr>
        </w:div>
      </w:divsChild>
    </w:div>
    <w:div w:id="950280944">
      <w:marLeft w:val="4"/>
      <w:marRight w:val="0"/>
      <w:marTop w:val="0"/>
      <w:marBottom w:val="0"/>
      <w:divBdr>
        <w:top w:val="none" w:sz="0" w:space="0" w:color="auto"/>
        <w:left w:val="none" w:sz="0" w:space="0" w:color="auto"/>
        <w:bottom w:val="none" w:sz="0" w:space="0" w:color="auto"/>
        <w:right w:val="none" w:sz="0" w:space="0" w:color="auto"/>
      </w:divBdr>
      <w:divsChild>
        <w:div w:id="2146459369">
          <w:marLeft w:val="0"/>
          <w:marRight w:val="0"/>
          <w:marTop w:val="0"/>
          <w:marBottom w:val="0"/>
          <w:divBdr>
            <w:top w:val="none" w:sz="0" w:space="0" w:color="auto"/>
            <w:left w:val="none" w:sz="0" w:space="0" w:color="auto"/>
            <w:bottom w:val="none" w:sz="0" w:space="0" w:color="auto"/>
            <w:right w:val="none" w:sz="0" w:space="0" w:color="auto"/>
          </w:divBdr>
        </w:div>
      </w:divsChild>
    </w:div>
    <w:div w:id="951594731">
      <w:marLeft w:val="3"/>
      <w:marRight w:val="0"/>
      <w:marTop w:val="0"/>
      <w:marBottom w:val="120"/>
      <w:divBdr>
        <w:top w:val="none" w:sz="0" w:space="0" w:color="auto"/>
        <w:left w:val="none" w:sz="0" w:space="0" w:color="auto"/>
        <w:bottom w:val="none" w:sz="0" w:space="0" w:color="auto"/>
        <w:right w:val="none" w:sz="0" w:space="0" w:color="auto"/>
      </w:divBdr>
      <w:divsChild>
        <w:div w:id="664864676">
          <w:marLeft w:val="0"/>
          <w:marRight w:val="0"/>
          <w:marTop w:val="0"/>
          <w:marBottom w:val="0"/>
          <w:divBdr>
            <w:top w:val="none" w:sz="0" w:space="0" w:color="auto"/>
            <w:left w:val="none" w:sz="0" w:space="0" w:color="auto"/>
            <w:bottom w:val="none" w:sz="0" w:space="0" w:color="auto"/>
            <w:right w:val="none" w:sz="0" w:space="0" w:color="auto"/>
          </w:divBdr>
        </w:div>
      </w:divsChild>
    </w:div>
    <w:div w:id="955908550">
      <w:marLeft w:val="4"/>
      <w:marRight w:val="0"/>
      <w:marTop w:val="120"/>
      <w:marBottom w:val="0"/>
      <w:divBdr>
        <w:top w:val="none" w:sz="0" w:space="0" w:color="auto"/>
        <w:left w:val="none" w:sz="0" w:space="0" w:color="auto"/>
        <w:bottom w:val="none" w:sz="0" w:space="0" w:color="auto"/>
        <w:right w:val="none" w:sz="0" w:space="0" w:color="auto"/>
      </w:divBdr>
      <w:divsChild>
        <w:div w:id="1301568096">
          <w:marLeft w:val="0"/>
          <w:marRight w:val="0"/>
          <w:marTop w:val="0"/>
          <w:marBottom w:val="0"/>
          <w:divBdr>
            <w:top w:val="none" w:sz="0" w:space="0" w:color="auto"/>
            <w:left w:val="none" w:sz="0" w:space="0" w:color="auto"/>
            <w:bottom w:val="none" w:sz="0" w:space="0" w:color="auto"/>
            <w:right w:val="none" w:sz="0" w:space="0" w:color="auto"/>
          </w:divBdr>
        </w:div>
      </w:divsChild>
    </w:div>
    <w:div w:id="980307267">
      <w:marLeft w:val="3"/>
      <w:marRight w:val="0"/>
      <w:marTop w:val="20"/>
      <w:marBottom w:val="0"/>
      <w:divBdr>
        <w:top w:val="none" w:sz="0" w:space="0" w:color="auto"/>
        <w:left w:val="none" w:sz="0" w:space="0" w:color="auto"/>
        <w:bottom w:val="none" w:sz="0" w:space="0" w:color="auto"/>
        <w:right w:val="none" w:sz="0" w:space="0" w:color="auto"/>
      </w:divBdr>
      <w:divsChild>
        <w:div w:id="1949772407">
          <w:marLeft w:val="0"/>
          <w:marRight w:val="0"/>
          <w:marTop w:val="0"/>
          <w:marBottom w:val="0"/>
          <w:divBdr>
            <w:top w:val="none" w:sz="0" w:space="0" w:color="auto"/>
            <w:left w:val="none" w:sz="0" w:space="0" w:color="auto"/>
            <w:bottom w:val="none" w:sz="0" w:space="0" w:color="auto"/>
            <w:right w:val="none" w:sz="0" w:space="0" w:color="auto"/>
          </w:divBdr>
        </w:div>
      </w:divsChild>
    </w:div>
    <w:div w:id="1005941156">
      <w:marLeft w:val="4"/>
      <w:marRight w:val="0"/>
      <w:marTop w:val="120"/>
      <w:marBottom w:val="0"/>
      <w:divBdr>
        <w:top w:val="none" w:sz="0" w:space="0" w:color="auto"/>
        <w:left w:val="none" w:sz="0" w:space="0" w:color="auto"/>
        <w:bottom w:val="none" w:sz="0" w:space="0" w:color="auto"/>
        <w:right w:val="none" w:sz="0" w:space="0" w:color="auto"/>
      </w:divBdr>
      <w:divsChild>
        <w:div w:id="1912501821">
          <w:marLeft w:val="0"/>
          <w:marRight w:val="0"/>
          <w:marTop w:val="0"/>
          <w:marBottom w:val="0"/>
          <w:divBdr>
            <w:top w:val="none" w:sz="0" w:space="0" w:color="auto"/>
            <w:left w:val="none" w:sz="0" w:space="0" w:color="auto"/>
            <w:bottom w:val="none" w:sz="0" w:space="0" w:color="auto"/>
            <w:right w:val="none" w:sz="0" w:space="0" w:color="auto"/>
          </w:divBdr>
        </w:div>
      </w:divsChild>
    </w:div>
    <w:div w:id="1022434523">
      <w:marLeft w:val="3"/>
      <w:marRight w:val="0"/>
      <w:marTop w:val="40"/>
      <w:marBottom w:val="0"/>
      <w:divBdr>
        <w:top w:val="none" w:sz="0" w:space="0" w:color="auto"/>
        <w:left w:val="none" w:sz="0" w:space="0" w:color="auto"/>
        <w:bottom w:val="none" w:sz="0" w:space="0" w:color="auto"/>
        <w:right w:val="none" w:sz="0" w:space="0" w:color="auto"/>
      </w:divBdr>
      <w:divsChild>
        <w:div w:id="458452164">
          <w:marLeft w:val="0"/>
          <w:marRight w:val="0"/>
          <w:marTop w:val="0"/>
          <w:marBottom w:val="0"/>
          <w:divBdr>
            <w:top w:val="none" w:sz="0" w:space="0" w:color="auto"/>
            <w:left w:val="none" w:sz="0" w:space="0" w:color="auto"/>
            <w:bottom w:val="none" w:sz="0" w:space="0" w:color="auto"/>
            <w:right w:val="none" w:sz="0" w:space="0" w:color="auto"/>
          </w:divBdr>
        </w:div>
      </w:divsChild>
    </w:div>
    <w:div w:id="1039626565">
      <w:marLeft w:val="0"/>
      <w:marRight w:val="0"/>
      <w:marTop w:val="0"/>
      <w:marBottom w:val="0"/>
      <w:divBdr>
        <w:top w:val="none" w:sz="0" w:space="0" w:color="auto"/>
        <w:left w:val="none" w:sz="0" w:space="0" w:color="auto"/>
        <w:bottom w:val="none" w:sz="0" w:space="0" w:color="auto"/>
        <w:right w:val="none" w:sz="0" w:space="0" w:color="auto"/>
      </w:divBdr>
      <w:divsChild>
        <w:div w:id="1324625521">
          <w:marLeft w:val="0"/>
          <w:marRight w:val="0"/>
          <w:marTop w:val="120"/>
          <w:marBottom w:val="0"/>
          <w:divBdr>
            <w:top w:val="none" w:sz="0" w:space="0" w:color="auto"/>
            <w:left w:val="none" w:sz="0" w:space="0" w:color="auto"/>
            <w:bottom w:val="none" w:sz="0" w:space="0" w:color="auto"/>
            <w:right w:val="none" w:sz="0" w:space="0" w:color="auto"/>
          </w:divBdr>
          <w:divsChild>
            <w:div w:id="14727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5322">
      <w:marLeft w:val="3"/>
      <w:marRight w:val="0"/>
      <w:marTop w:val="20"/>
      <w:marBottom w:val="0"/>
      <w:divBdr>
        <w:top w:val="none" w:sz="0" w:space="0" w:color="auto"/>
        <w:left w:val="none" w:sz="0" w:space="0" w:color="auto"/>
        <w:bottom w:val="none" w:sz="0" w:space="0" w:color="auto"/>
        <w:right w:val="none" w:sz="0" w:space="0" w:color="auto"/>
      </w:divBdr>
      <w:divsChild>
        <w:div w:id="1610624905">
          <w:marLeft w:val="0"/>
          <w:marRight w:val="0"/>
          <w:marTop w:val="0"/>
          <w:marBottom w:val="0"/>
          <w:divBdr>
            <w:top w:val="none" w:sz="0" w:space="0" w:color="auto"/>
            <w:left w:val="none" w:sz="0" w:space="0" w:color="auto"/>
            <w:bottom w:val="none" w:sz="0" w:space="0" w:color="auto"/>
            <w:right w:val="none" w:sz="0" w:space="0" w:color="auto"/>
          </w:divBdr>
        </w:div>
      </w:divsChild>
    </w:div>
    <w:div w:id="1044792721">
      <w:marLeft w:val="3"/>
      <w:marRight w:val="0"/>
      <w:marTop w:val="20"/>
      <w:marBottom w:val="0"/>
      <w:divBdr>
        <w:top w:val="none" w:sz="0" w:space="0" w:color="auto"/>
        <w:left w:val="none" w:sz="0" w:space="0" w:color="auto"/>
        <w:bottom w:val="none" w:sz="0" w:space="0" w:color="auto"/>
        <w:right w:val="none" w:sz="0" w:space="0" w:color="auto"/>
      </w:divBdr>
      <w:divsChild>
        <w:div w:id="873811284">
          <w:marLeft w:val="0"/>
          <w:marRight w:val="0"/>
          <w:marTop w:val="0"/>
          <w:marBottom w:val="0"/>
          <w:divBdr>
            <w:top w:val="none" w:sz="0" w:space="0" w:color="auto"/>
            <w:left w:val="none" w:sz="0" w:space="0" w:color="auto"/>
            <w:bottom w:val="none" w:sz="0" w:space="0" w:color="auto"/>
            <w:right w:val="none" w:sz="0" w:space="0" w:color="auto"/>
          </w:divBdr>
        </w:div>
      </w:divsChild>
    </w:div>
    <w:div w:id="1077170887">
      <w:marLeft w:val="3"/>
      <w:marRight w:val="0"/>
      <w:marTop w:val="20"/>
      <w:marBottom w:val="0"/>
      <w:divBdr>
        <w:top w:val="none" w:sz="0" w:space="0" w:color="auto"/>
        <w:left w:val="none" w:sz="0" w:space="0" w:color="auto"/>
        <w:bottom w:val="none" w:sz="0" w:space="0" w:color="auto"/>
        <w:right w:val="none" w:sz="0" w:space="0" w:color="auto"/>
      </w:divBdr>
      <w:divsChild>
        <w:div w:id="1615942133">
          <w:marLeft w:val="0"/>
          <w:marRight w:val="0"/>
          <w:marTop w:val="0"/>
          <w:marBottom w:val="0"/>
          <w:divBdr>
            <w:top w:val="none" w:sz="0" w:space="0" w:color="auto"/>
            <w:left w:val="none" w:sz="0" w:space="0" w:color="auto"/>
            <w:bottom w:val="none" w:sz="0" w:space="0" w:color="auto"/>
            <w:right w:val="none" w:sz="0" w:space="0" w:color="auto"/>
          </w:divBdr>
        </w:div>
      </w:divsChild>
    </w:div>
    <w:div w:id="1085609176">
      <w:marLeft w:val="3"/>
      <w:marRight w:val="0"/>
      <w:marTop w:val="0"/>
      <w:marBottom w:val="120"/>
      <w:divBdr>
        <w:top w:val="none" w:sz="0" w:space="0" w:color="auto"/>
        <w:left w:val="none" w:sz="0" w:space="0" w:color="auto"/>
        <w:bottom w:val="none" w:sz="0" w:space="0" w:color="auto"/>
        <w:right w:val="none" w:sz="0" w:space="0" w:color="auto"/>
      </w:divBdr>
      <w:divsChild>
        <w:div w:id="52584600">
          <w:marLeft w:val="0"/>
          <w:marRight w:val="0"/>
          <w:marTop w:val="0"/>
          <w:marBottom w:val="0"/>
          <w:divBdr>
            <w:top w:val="none" w:sz="0" w:space="0" w:color="auto"/>
            <w:left w:val="none" w:sz="0" w:space="0" w:color="auto"/>
            <w:bottom w:val="none" w:sz="0" w:space="0" w:color="auto"/>
            <w:right w:val="none" w:sz="0" w:space="0" w:color="auto"/>
          </w:divBdr>
        </w:div>
      </w:divsChild>
    </w:div>
    <w:div w:id="1110245720">
      <w:marLeft w:val="4"/>
      <w:marRight w:val="0"/>
      <w:marTop w:val="120"/>
      <w:marBottom w:val="0"/>
      <w:divBdr>
        <w:top w:val="none" w:sz="0" w:space="0" w:color="auto"/>
        <w:left w:val="none" w:sz="0" w:space="0" w:color="auto"/>
        <w:bottom w:val="none" w:sz="0" w:space="0" w:color="auto"/>
        <w:right w:val="none" w:sz="0" w:space="0" w:color="auto"/>
      </w:divBdr>
      <w:divsChild>
        <w:div w:id="315302652">
          <w:marLeft w:val="0"/>
          <w:marRight w:val="0"/>
          <w:marTop w:val="0"/>
          <w:marBottom w:val="0"/>
          <w:divBdr>
            <w:top w:val="none" w:sz="0" w:space="0" w:color="auto"/>
            <w:left w:val="none" w:sz="0" w:space="0" w:color="auto"/>
            <w:bottom w:val="none" w:sz="0" w:space="0" w:color="auto"/>
            <w:right w:val="none" w:sz="0" w:space="0" w:color="auto"/>
          </w:divBdr>
        </w:div>
      </w:divsChild>
    </w:div>
    <w:div w:id="1114668037">
      <w:marLeft w:val="4"/>
      <w:marRight w:val="0"/>
      <w:marTop w:val="120"/>
      <w:marBottom w:val="0"/>
      <w:divBdr>
        <w:top w:val="none" w:sz="0" w:space="0" w:color="auto"/>
        <w:left w:val="none" w:sz="0" w:space="0" w:color="auto"/>
        <w:bottom w:val="none" w:sz="0" w:space="0" w:color="auto"/>
        <w:right w:val="none" w:sz="0" w:space="0" w:color="auto"/>
      </w:divBdr>
      <w:divsChild>
        <w:div w:id="1144158181">
          <w:marLeft w:val="0"/>
          <w:marRight w:val="0"/>
          <w:marTop w:val="0"/>
          <w:marBottom w:val="0"/>
          <w:divBdr>
            <w:top w:val="none" w:sz="0" w:space="0" w:color="auto"/>
            <w:left w:val="none" w:sz="0" w:space="0" w:color="auto"/>
            <w:bottom w:val="none" w:sz="0" w:space="0" w:color="auto"/>
            <w:right w:val="none" w:sz="0" w:space="0" w:color="auto"/>
          </w:divBdr>
        </w:div>
      </w:divsChild>
    </w:div>
    <w:div w:id="1117288814">
      <w:marLeft w:val="3"/>
      <w:marRight w:val="0"/>
      <w:marTop w:val="20"/>
      <w:marBottom w:val="0"/>
      <w:divBdr>
        <w:top w:val="none" w:sz="0" w:space="0" w:color="auto"/>
        <w:left w:val="none" w:sz="0" w:space="0" w:color="auto"/>
        <w:bottom w:val="none" w:sz="0" w:space="0" w:color="auto"/>
        <w:right w:val="none" w:sz="0" w:space="0" w:color="auto"/>
      </w:divBdr>
      <w:divsChild>
        <w:div w:id="235165457">
          <w:marLeft w:val="0"/>
          <w:marRight w:val="0"/>
          <w:marTop w:val="0"/>
          <w:marBottom w:val="0"/>
          <w:divBdr>
            <w:top w:val="none" w:sz="0" w:space="0" w:color="auto"/>
            <w:left w:val="none" w:sz="0" w:space="0" w:color="auto"/>
            <w:bottom w:val="none" w:sz="0" w:space="0" w:color="auto"/>
            <w:right w:val="none" w:sz="0" w:space="0" w:color="auto"/>
          </w:divBdr>
        </w:div>
      </w:divsChild>
    </w:div>
    <w:div w:id="1118599706">
      <w:marLeft w:val="4"/>
      <w:marRight w:val="0"/>
      <w:marTop w:val="120"/>
      <w:marBottom w:val="0"/>
      <w:divBdr>
        <w:top w:val="none" w:sz="0" w:space="0" w:color="auto"/>
        <w:left w:val="none" w:sz="0" w:space="0" w:color="auto"/>
        <w:bottom w:val="none" w:sz="0" w:space="0" w:color="auto"/>
        <w:right w:val="none" w:sz="0" w:space="0" w:color="auto"/>
      </w:divBdr>
      <w:divsChild>
        <w:div w:id="1702895940">
          <w:marLeft w:val="0"/>
          <w:marRight w:val="0"/>
          <w:marTop w:val="0"/>
          <w:marBottom w:val="0"/>
          <w:divBdr>
            <w:top w:val="none" w:sz="0" w:space="0" w:color="auto"/>
            <w:left w:val="none" w:sz="0" w:space="0" w:color="auto"/>
            <w:bottom w:val="none" w:sz="0" w:space="0" w:color="auto"/>
            <w:right w:val="none" w:sz="0" w:space="0" w:color="auto"/>
          </w:divBdr>
        </w:div>
      </w:divsChild>
    </w:div>
    <w:div w:id="1124930741">
      <w:marLeft w:val="3"/>
      <w:marRight w:val="0"/>
      <w:marTop w:val="20"/>
      <w:marBottom w:val="0"/>
      <w:divBdr>
        <w:top w:val="none" w:sz="0" w:space="0" w:color="auto"/>
        <w:left w:val="none" w:sz="0" w:space="0" w:color="auto"/>
        <w:bottom w:val="none" w:sz="0" w:space="0" w:color="auto"/>
        <w:right w:val="none" w:sz="0" w:space="0" w:color="auto"/>
      </w:divBdr>
      <w:divsChild>
        <w:div w:id="1778745141">
          <w:marLeft w:val="0"/>
          <w:marRight w:val="0"/>
          <w:marTop w:val="0"/>
          <w:marBottom w:val="0"/>
          <w:divBdr>
            <w:top w:val="none" w:sz="0" w:space="0" w:color="auto"/>
            <w:left w:val="none" w:sz="0" w:space="0" w:color="auto"/>
            <w:bottom w:val="none" w:sz="0" w:space="0" w:color="auto"/>
            <w:right w:val="none" w:sz="0" w:space="0" w:color="auto"/>
          </w:divBdr>
        </w:div>
      </w:divsChild>
    </w:div>
    <w:div w:id="1127092342">
      <w:marLeft w:val="4"/>
      <w:marRight w:val="0"/>
      <w:marTop w:val="120"/>
      <w:marBottom w:val="0"/>
      <w:divBdr>
        <w:top w:val="none" w:sz="0" w:space="0" w:color="auto"/>
        <w:left w:val="none" w:sz="0" w:space="0" w:color="auto"/>
        <w:bottom w:val="none" w:sz="0" w:space="0" w:color="auto"/>
        <w:right w:val="none" w:sz="0" w:space="0" w:color="auto"/>
      </w:divBdr>
      <w:divsChild>
        <w:div w:id="511913675">
          <w:marLeft w:val="0"/>
          <w:marRight w:val="0"/>
          <w:marTop w:val="0"/>
          <w:marBottom w:val="0"/>
          <w:divBdr>
            <w:top w:val="none" w:sz="0" w:space="0" w:color="auto"/>
            <w:left w:val="none" w:sz="0" w:space="0" w:color="auto"/>
            <w:bottom w:val="none" w:sz="0" w:space="0" w:color="auto"/>
            <w:right w:val="none" w:sz="0" w:space="0" w:color="auto"/>
          </w:divBdr>
        </w:div>
      </w:divsChild>
    </w:div>
    <w:div w:id="1142504062">
      <w:marLeft w:val="0"/>
      <w:marRight w:val="0"/>
      <w:marTop w:val="0"/>
      <w:marBottom w:val="0"/>
      <w:divBdr>
        <w:top w:val="none" w:sz="0" w:space="0" w:color="auto"/>
        <w:left w:val="none" w:sz="0" w:space="0" w:color="auto"/>
        <w:bottom w:val="none" w:sz="0" w:space="0" w:color="auto"/>
        <w:right w:val="none" w:sz="0" w:space="0" w:color="auto"/>
      </w:divBdr>
      <w:divsChild>
        <w:div w:id="677973778">
          <w:marLeft w:val="0"/>
          <w:marRight w:val="0"/>
          <w:marTop w:val="120"/>
          <w:marBottom w:val="0"/>
          <w:divBdr>
            <w:top w:val="none" w:sz="0" w:space="0" w:color="auto"/>
            <w:left w:val="none" w:sz="0" w:space="0" w:color="auto"/>
            <w:bottom w:val="none" w:sz="0" w:space="0" w:color="auto"/>
            <w:right w:val="none" w:sz="0" w:space="0" w:color="auto"/>
          </w:divBdr>
          <w:divsChild>
            <w:div w:id="17146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6044">
      <w:marLeft w:val="3"/>
      <w:marRight w:val="0"/>
      <w:marTop w:val="20"/>
      <w:marBottom w:val="0"/>
      <w:divBdr>
        <w:top w:val="none" w:sz="0" w:space="0" w:color="auto"/>
        <w:left w:val="none" w:sz="0" w:space="0" w:color="auto"/>
        <w:bottom w:val="none" w:sz="0" w:space="0" w:color="auto"/>
        <w:right w:val="none" w:sz="0" w:space="0" w:color="auto"/>
      </w:divBdr>
      <w:divsChild>
        <w:div w:id="501511605">
          <w:marLeft w:val="0"/>
          <w:marRight w:val="0"/>
          <w:marTop w:val="0"/>
          <w:marBottom w:val="0"/>
          <w:divBdr>
            <w:top w:val="none" w:sz="0" w:space="0" w:color="auto"/>
            <w:left w:val="none" w:sz="0" w:space="0" w:color="auto"/>
            <w:bottom w:val="none" w:sz="0" w:space="0" w:color="auto"/>
            <w:right w:val="none" w:sz="0" w:space="0" w:color="auto"/>
          </w:divBdr>
        </w:div>
      </w:divsChild>
    </w:div>
    <w:div w:id="1158032605">
      <w:marLeft w:val="4"/>
      <w:marRight w:val="0"/>
      <w:marTop w:val="120"/>
      <w:marBottom w:val="0"/>
      <w:divBdr>
        <w:top w:val="none" w:sz="0" w:space="0" w:color="auto"/>
        <w:left w:val="none" w:sz="0" w:space="0" w:color="auto"/>
        <w:bottom w:val="none" w:sz="0" w:space="0" w:color="auto"/>
        <w:right w:val="none" w:sz="0" w:space="0" w:color="auto"/>
      </w:divBdr>
      <w:divsChild>
        <w:div w:id="423183800">
          <w:marLeft w:val="0"/>
          <w:marRight w:val="0"/>
          <w:marTop w:val="0"/>
          <w:marBottom w:val="0"/>
          <w:divBdr>
            <w:top w:val="none" w:sz="0" w:space="0" w:color="auto"/>
            <w:left w:val="none" w:sz="0" w:space="0" w:color="auto"/>
            <w:bottom w:val="none" w:sz="0" w:space="0" w:color="auto"/>
            <w:right w:val="none" w:sz="0" w:space="0" w:color="auto"/>
          </w:divBdr>
        </w:div>
      </w:divsChild>
    </w:div>
    <w:div w:id="1165514965">
      <w:marLeft w:val="3"/>
      <w:marRight w:val="0"/>
      <w:marTop w:val="20"/>
      <w:marBottom w:val="0"/>
      <w:divBdr>
        <w:top w:val="none" w:sz="0" w:space="0" w:color="auto"/>
        <w:left w:val="none" w:sz="0" w:space="0" w:color="auto"/>
        <w:bottom w:val="none" w:sz="0" w:space="0" w:color="auto"/>
        <w:right w:val="none" w:sz="0" w:space="0" w:color="auto"/>
      </w:divBdr>
      <w:divsChild>
        <w:div w:id="369259923">
          <w:marLeft w:val="0"/>
          <w:marRight w:val="0"/>
          <w:marTop w:val="0"/>
          <w:marBottom w:val="0"/>
          <w:divBdr>
            <w:top w:val="none" w:sz="0" w:space="0" w:color="auto"/>
            <w:left w:val="none" w:sz="0" w:space="0" w:color="auto"/>
            <w:bottom w:val="none" w:sz="0" w:space="0" w:color="auto"/>
            <w:right w:val="none" w:sz="0" w:space="0" w:color="auto"/>
          </w:divBdr>
        </w:div>
      </w:divsChild>
    </w:div>
    <w:div w:id="1196885639">
      <w:marLeft w:val="3"/>
      <w:marRight w:val="0"/>
      <w:marTop w:val="0"/>
      <w:marBottom w:val="120"/>
      <w:divBdr>
        <w:top w:val="none" w:sz="0" w:space="0" w:color="auto"/>
        <w:left w:val="none" w:sz="0" w:space="0" w:color="auto"/>
        <w:bottom w:val="none" w:sz="0" w:space="0" w:color="auto"/>
        <w:right w:val="none" w:sz="0" w:space="0" w:color="auto"/>
      </w:divBdr>
      <w:divsChild>
        <w:div w:id="1413813661">
          <w:marLeft w:val="0"/>
          <w:marRight w:val="0"/>
          <w:marTop w:val="0"/>
          <w:marBottom w:val="0"/>
          <w:divBdr>
            <w:top w:val="none" w:sz="0" w:space="0" w:color="auto"/>
            <w:left w:val="none" w:sz="0" w:space="0" w:color="auto"/>
            <w:bottom w:val="none" w:sz="0" w:space="0" w:color="auto"/>
            <w:right w:val="none" w:sz="0" w:space="0" w:color="auto"/>
          </w:divBdr>
        </w:div>
      </w:divsChild>
    </w:div>
    <w:div w:id="1199781619">
      <w:marLeft w:val="3"/>
      <w:marRight w:val="0"/>
      <w:marTop w:val="0"/>
      <w:marBottom w:val="0"/>
      <w:divBdr>
        <w:top w:val="none" w:sz="0" w:space="0" w:color="auto"/>
        <w:left w:val="none" w:sz="0" w:space="0" w:color="auto"/>
        <w:bottom w:val="none" w:sz="0" w:space="0" w:color="auto"/>
        <w:right w:val="none" w:sz="0" w:space="0" w:color="auto"/>
      </w:divBdr>
      <w:divsChild>
        <w:div w:id="1810591590">
          <w:marLeft w:val="0"/>
          <w:marRight w:val="0"/>
          <w:marTop w:val="0"/>
          <w:marBottom w:val="0"/>
          <w:divBdr>
            <w:top w:val="none" w:sz="0" w:space="0" w:color="auto"/>
            <w:left w:val="none" w:sz="0" w:space="0" w:color="auto"/>
            <w:bottom w:val="none" w:sz="0" w:space="0" w:color="auto"/>
            <w:right w:val="none" w:sz="0" w:space="0" w:color="auto"/>
          </w:divBdr>
        </w:div>
      </w:divsChild>
    </w:div>
    <w:div w:id="1212158761">
      <w:marLeft w:val="4"/>
      <w:marRight w:val="0"/>
      <w:marTop w:val="240"/>
      <w:marBottom w:val="0"/>
      <w:divBdr>
        <w:top w:val="none" w:sz="0" w:space="0" w:color="auto"/>
        <w:left w:val="none" w:sz="0" w:space="0" w:color="auto"/>
        <w:bottom w:val="none" w:sz="0" w:space="0" w:color="auto"/>
        <w:right w:val="none" w:sz="0" w:space="0" w:color="auto"/>
      </w:divBdr>
      <w:divsChild>
        <w:div w:id="1869684790">
          <w:marLeft w:val="0"/>
          <w:marRight w:val="0"/>
          <w:marTop w:val="0"/>
          <w:marBottom w:val="0"/>
          <w:divBdr>
            <w:top w:val="none" w:sz="0" w:space="0" w:color="auto"/>
            <w:left w:val="none" w:sz="0" w:space="0" w:color="auto"/>
            <w:bottom w:val="none" w:sz="0" w:space="0" w:color="auto"/>
            <w:right w:val="none" w:sz="0" w:space="0" w:color="auto"/>
          </w:divBdr>
        </w:div>
      </w:divsChild>
    </w:div>
    <w:div w:id="1213998315">
      <w:marLeft w:val="4"/>
      <w:marRight w:val="0"/>
      <w:marTop w:val="120"/>
      <w:marBottom w:val="0"/>
      <w:divBdr>
        <w:top w:val="none" w:sz="0" w:space="0" w:color="auto"/>
        <w:left w:val="none" w:sz="0" w:space="0" w:color="auto"/>
        <w:bottom w:val="none" w:sz="0" w:space="0" w:color="auto"/>
        <w:right w:val="none" w:sz="0" w:space="0" w:color="auto"/>
      </w:divBdr>
      <w:divsChild>
        <w:div w:id="1695426348">
          <w:marLeft w:val="0"/>
          <w:marRight w:val="0"/>
          <w:marTop w:val="0"/>
          <w:marBottom w:val="0"/>
          <w:divBdr>
            <w:top w:val="none" w:sz="0" w:space="0" w:color="auto"/>
            <w:left w:val="none" w:sz="0" w:space="0" w:color="auto"/>
            <w:bottom w:val="none" w:sz="0" w:space="0" w:color="auto"/>
            <w:right w:val="none" w:sz="0" w:space="0" w:color="auto"/>
          </w:divBdr>
        </w:div>
      </w:divsChild>
    </w:div>
    <w:div w:id="1221360667">
      <w:marLeft w:val="3"/>
      <w:marRight w:val="0"/>
      <w:marTop w:val="20"/>
      <w:marBottom w:val="0"/>
      <w:divBdr>
        <w:top w:val="none" w:sz="0" w:space="0" w:color="auto"/>
        <w:left w:val="none" w:sz="0" w:space="0" w:color="auto"/>
        <w:bottom w:val="none" w:sz="0" w:space="0" w:color="auto"/>
        <w:right w:val="none" w:sz="0" w:space="0" w:color="auto"/>
      </w:divBdr>
      <w:divsChild>
        <w:div w:id="76096723">
          <w:marLeft w:val="0"/>
          <w:marRight w:val="0"/>
          <w:marTop w:val="0"/>
          <w:marBottom w:val="0"/>
          <w:divBdr>
            <w:top w:val="none" w:sz="0" w:space="0" w:color="auto"/>
            <w:left w:val="none" w:sz="0" w:space="0" w:color="auto"/>
            <w:bottom w:val="none" w:sz="0" w:space="0" w:color="auto"/>
            <w:right w:val="none" w:sz="0" w:space="0" w:color="auto"/>
          </w:divBdr>
        </w:div>
      </w:divsChild>
    </w:div>
    <w:div w:id="1223371190">
      <w:marLeft w:val="4"/>
      <w:marRight w:val="0"/>
      <w:marTop w:val="120"/>
      <w:marBottom w:val="0"/>
      <w:divBdr>
        <w:top w:val="none" w:sz="0" w:space="0" w:color="auto"/>
        <w:left w:val="none" w:sz="0" w:space="0" w:color="auto"/>
        <w:bottom w:val="none" w:sz="0" w:space="0" w:color="auto"/>
        <w:right w:val="none" w:sz="0" w:space="0" w:color="auto"/>
      </w:divBdr>
      <w:divsChild>
        <w:div w:id="551623083">
          <w:marLeft w:val="0"/>
          <w:marRight w:val="0"/>
          <w:marTop w:val="0"/>
          <w:marBottom w:val="0"/>
          <w:divBdr>
            <w:top w:val="none" w:sz="0" w:space="0" w:color="auto"/>
            <w:left w:val="none" w:sz="0" w:space="0" w:color="auto"/>
            <w:bottom w:val="none" w:sz="0" w:space="0" w:color="auto"/>
            <w:right w:val="none" w:sz="0" w:space="0" w:color="auto"/>
          </w:divBdr>
        </w:div>
      </w:divsChild>
    </w:div>
    <w:div w:id="1225681762">
      <w:marLeft w:val="3"/>
      <w:marRight w:val="0"/>
      <w:marTop w:val="20"/>
      <w:marBottom w:val="0"/>
      <w:divBdr>
        <w:top w:val="none" w:sz="0" w:space="0" w:color="auto"/>
        <w:left w:val="none" w:sz="0" w:space="0" w:color="auto"/>
        <w:bottom w:val="none" w:sz="0" w:space="0" w:color="auto"/>
        <w:right w:val="none" w:sz="0" w:space="0" w:color="auto"/>
      </w:divBdr>
      <w:divsChild>
        <w:div w:id="1310668405">
          <w:marLeft w:val="0"/>
          <w:marRight w:val="0"/>
          <w:marTop w:val="0"/>
          <w:marBottom w:val="0"/>
          <w:divBdr>
            <w:top w:val="none" w:sz="0" w:space="0" w:color="auto"/>
            <w:left w:val="none" w:sz="0" w:space="0" w:color="auto"/>
            <w:bottom w:val="none" w:sz="0" w:space="0" w:color="auto"/>
            <w:right w:val="none" w:sz="0" w:space="0" w:color="auto"/>
          </w:divBdr>
        </w:div>
      </w:divsChild>
    </w:div>
    <w:div w:id="1245186707">
      <w:marLeft w:val="4"/>
      <w:marRight w:val="0"/>
      <w:marTop w:val="0"/>
      <w:marBottom w:val="0"/>
      <w:divBdr>
        <w:top w:val="none" w:sz="0" w:space="0" w:color="auto"/>
        <w:left w:val="none" w:sz="0" w:space="0" w:color="auto"/>
        <w:bottom w:val="none" w:sz="0" w:space="0" w:color="auto"/>
        <w:right w:val="none" w:sz="0" w:space="0" w:color="auto"/>
      </w:divBdr>
      <w:divsChild>
        <w:div w:id="2008095945">
          <w:marLeft w:val="0"/>
          <w:marRight w:val="0"/>
          <w:marTop w:val="0"/>
          <w:marBottom w:val="0"/>
          <w:divBdr>
            <w:top w:val="none" w:sz="0" w:space="0" w:color="auto"/>
            <w:left w:val="none" w:sz="0" w:space="0" w:color="auto"/>
            <w:bottom w:val="none" w:sz="0" w:space="0" w:color="auto"/>
            <w:right w:val="none" w:sz="0" w:space="0" w:color="auto"/>
          </w:divBdr>
        </w:div>
      </w:divsChild>
    </w:div>
    <w:div w:id="1246695395">
      <w:marLeft w:val="1"/>
      <w:marRight w:val="0"/>
      <w:marTop w:val="120"/>
      <w:marBottom w:val="0"/>
      <w:divBdr>
        <w:top w:val="none" w:sz="0" w:space="0" w:color="auto"/>
        <w:left w:val="none" w:sz="0" w:space="0" w:color="auto"/>
        <w:bottom w:val="none" w:sz="0" w:space="0" w:color="auto"/>
        <w:right w:val="none" w:sz="0" w:space="0" w:color="auto"/>
      </w:divBdr>
      <w:divsChild>
        <w:div w:id="796341504">
          <w:marLeft w:val="0"/>
          <w:marRight w:val="0"/>
          <w:marTop w:val="0"/>
          <w:marBottom w:val="0"/>
          <w:divBdr>
            <w:top w:val="none" w:sz="0" w:space="0" w:color="auto"/>
            <w:left w:val="none" w:sz="0" w:space="0" w:color="auto"/>
            <w:bottom w:val="none" w:sz="0" w:space="0" w:color="auto"/>
            <w:right w:val="none" w:sz="0" w:space="0" w:color="auto"/>
          </w:divBdr>
        </w:div>
      </w:divsChild>
    </w:div>
    <w:div w:id="1268153182">
      <w:marLeft w:val="4"/>
      <w:marRight w:val="0"/>
      <w:marTop w:val="120"/>
      <w:marBottom w:val="0"/>
      <w:divBdr>
        <w:top w:val="none" w:sz="0" w:space="0" w:color="auto"/>
        <w:left w:val="none" w:sz="0" w:space="0" w:color="auto"/>
        <w:bottom w:val="none" w:sz="0" w:space="0" w:color="auto"/>
        <w:right w:val="none" w:sz="0" w:space="0" w:color="auto"/>
      </w:divBdr>
      <w:divsChild>
        <w:div w:id="638653283">
          <w:marLeft w:val="0"/>
          <w:marRight w:val="0"/>
          <w:marTop w:val="0"/>
          <w:marBottom w:val="0"/>
          <w:divBdr>
            <w:top w:val="none" w:sz="0" w:space="0" w:color="auto"/>
            <w:left w:val="none" w:sz="0" w:space="0" w:color="auto"/>
            <w:bottom w:val="none" w:sz="0" w:space="0" w:color="auto"/>
            <w:right w:val="none" w:sz="0" w:space="0" w:color="auto"/>
          </w:divBdr>
        </w:div>
      </w:divsChild>
    </w:div>
    <w:div w:id="1283271598">
      <w:marLeft w:val="0"/>
      <w:marRight w:val="0"/>
      <w:marTop w:val="0"/>
      <w:marBottom w:val="0"/>
      <w:divBdr>
        <w:top w:val="none" w:sz="0" w:space="0" w:color="auto"/>
        <w:left w:val="none" w:sz="0" w:space="0" w:color="auto"/>
        <w:bottom w:val="none" w:sz="0" w:space="0" w:color="auto"/>
        <w:right w:val="none" w:sz="0" w:space="0" w:color="auto"/>
      </w:divBdr>
      <w:divsChild>
        <w:div w:id="1541551093">
          <w:marLeft w:val="0"/>
          <w:marRight w:val="0"/>
          <w:marTop w:val="120"/>
          <w:marBottom w:val="0"/>
          <w:divBdr>
            <w:top w:val="none" w:sz="0" w:space="0" w:color="auto"/>
            <w:left w:val="none" w:sz="0" w:space="0" w:color="auto"/>
            <w:bottom w:val="none" w:sz="0" w:space="0" w:color="auto"/>
            <w:right w:val="none" w:sz="0" w:space="0" w:color="auto"/>
          </w:divBdr>
          <w:divsChild>
            <w:div w:id="121905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8106">
      <w:marLeft w:val="4"/>
      <w:marRight w:val="0"/>
      <w:marTop w:val="120"/>
      <w:marBottom w:val="0"/>
      <w:divBdr>
        <w:top w:val="none" w:sz="0" w:space="0" w:color="auto"/>
        <w:left w:val="none" w:sz="0" w:space="0" w:color="auto"/>
        <w:bottom w:val="none" w:sz="0" w:space="0" w:color="auto"/>
        <w:right w:val="none" w:sz="0" w:space="0" w:color="auto"/>
      </w:divBdr>
      <w:divsChild>
        <w:div w:id="509150931">
          <w:marLeft w:val="0"/>
          <w:marRight w:val="0"/>
          <w:marTop w:val="0"/>
          <w:marBottom w:val="0"/>
          <w:divBdr>
            <w:top w:val="none" w:sz="0" w:space="0" w:color="auto"/>
            <w:left w:val="none" w:sz="0" w:space="0" w:color="auto"/>
            <w:bottom w:val="none" w:sz="0" w:space="0" w:color="auto"/>
            <w:right w:val="none" w:sz="0" w:space="0" w:color="auto"/>
          </w:divBdr>
        </w:div>
      </w:divsChild>
    </w:div>
    <w:div w:id="1310130275">
      <w:marLeft w:val="4"/>
      <w:marRight w:val="0"/>
      <w:marTop w:val="120"/>
      <w:marBottom w:val="0"/>
      <w:divBdr>
        <w:top w:val="none" w:sz="0" w:space="0" w:color="auto"/>
        <w:left w:val="none" w:sz="0" w:space="0" w:color="auto"/>
        <w:bottom w:val="none" w:sz="0" w:space="0" w:color="auto"/>
        <w:right w:val="none" w:sz="0" w:space="0" w:color="auto"/>
      </w:divBdr>
      <w:divsChild>
        <w:div w:id="18745540">
          <w:marLeft w:val="0"/>
          <w:marRight w:val="0"/>
          <w:marTop w:val="0"/>
          <w:marBottom w:val="0"/>
          <w:divBdr>
            <w:top w:val="none" w:sz="0" w:space="0" w:color="auto"/>
            <w:left w:val="none" w:sz="0" w:space="0" w:color="auto"/>
            <w:bottom w:val="none" w:sz="0" w:space="0" w:color="auto"/>
            <w:right w:val="none" w:sz="0" w:space="0" w:color="auto"/>
          </w:divBdr>
        </w:div>
      </w:divsChild>
    </w:div>
    <w:div w:id="1320495795">
      <w:marLeft w:val="3"/>
      <w:marRight w:val="0"/>
      <w:marTop w:val="20"/>
      <w:marBottom w:val="0"/>
      <w:divBdr>
        <w:top w:val="none" w:sz="0" w:space="0" w:color="auto"/>
        <w:left w:val="none" w:sz="0" w:space="0" w:color="auto"/>
        <w:bottom w:val="none" w:sz="0" w:space="0" w:color="auto"/>
        <w:right w:val="none" w:sz="0" w:space="0" w:color="auto"/>
      </w:divBdr>
      <w:divsChild>
        <w:div w:id="968630516">
          <w:marLeft w:val="0"/>
          <w:marRight w:val="0"/>
          <w:marTop w:val="0"/>
          <w:marBottom w:val="0"/>
          <w:divBdr>
            <w:top w:val="none" w:sz="0" w:space="0" w:color="auto"/>
            <w:left w:val="none" w:sz="0" w:space="0" w:color="auto"/>
            <w:bottom w:val="none" w:sz="0" w:space="0" w:color="auto"/>
            <w:right w:val="none" w:sz="0" w:space="0" w:color="auto"/>
          </w:divBdr>
        </w:div>
      </w:divsChild>
    </w:div>
    <w:div w:id="1329672265">
      <w:marLeft w:val="4"/>
      <w:marRight w:val="0"/>
      <w:marTop w:val="240"/>
      <w:marBottom w:val="0"/>
      <w:divBdr>
        <w:top w:val="none" w:sz="0" w:space="0" w:color="auto"/>
        <w:left w:val="none" w:sz="0" w:space="0" w:color="auto"/>
        <w:bottom w:val="none" w:sz="0" w:space="0" w:color="auto"/>
        <w:right w:val="none" w:sz="0" w:space="0" w:color="auto"/>
      </w:divBdr>
      <w:divsChild>
        <w:div w:id="1118373140">
          <w:marLeft w:val="0"/>
          <w:marRight w:val="0"/>
          <w:marTop w:val="0"/>
          <w:marBottom w:val="0"/>
          <w:divBdr>
            <w:top w:val="none" w:sz="0" w:space="0" w:color="auto"/>
            <w:left w:val="none" w:sz="0" w:space="0" w:color="auto"/>
            <w:bottom w:val="none" w:sz="0" w:space="0" w:color="auto"/>
            <w:right w:val="none" w:sz="0" w:space="0" w:color="auto"/>
          </w:divBdr>
        </w:div>
      </w:divsChild>
    </w:div>
    <w:div w:id="1330448859">
      <w:marLeft w:val="4"/>
      <w:marRight w:val="0"/>
      <w:marTop w:val="120"/>
      <w:marBottom w:val="0"/>
      <w:divBdr>
        <w:top w:val="none" w:sz="0" w:space="0" w:color="auto"/>
        <w:left w:val="none" w:sz="0" w:space="0" w:color="auto"/>
        <w:bottom w:val="none" w:sz="0" w:space="0" w:color="auto"/>
        <w:right w:val="none" w:sz="0" w:space="0" w:color="auto"/>
      </w:divBdr>
      <w:divsChild>
        <w:div w:id="1009602411">
          <w:marLeft w:val="0"/>
          <w:marRight w:val="0"/>
          <w:marTop w:val="0"/>
          <w:marBottom w:val="0"/>
          <w:divBdr>
            <w:top w:val="none" w:sz="0" w:space="0" w:color="auto"/>
            <w:left w:val="none" w:sz="0" w:space="0" w:color="auto"/>
            <w:bottom w:val="none" w:sz="0" w:space="0" w:color="auto"/>
            <w:right w:val="none" w:sz="0" w:space="0" w:color="auto"/>
          </w:divBdr>
        </w:div>
      </w:divsChild>
    </w:div>
    <w:div w:id="1339191049">
      <w:marLeft w:val="3"/>
      <w:marRight w:val="0"/>
      <w:marTop w:val="20"/>
      <w:marBottom w:val="0"/>
      <w:divBdr>
        <w:top w:val="none" w:sz="0" w:space="0" w:color="auto"/>
        <w:left w:val="none" w:sz="0" w:space="0" w:color="auto"/>
        <w:bottom w:val="none" w:sz="0" w:space="0" w:color="auto"/>
        <w:right w:val="none" w:sz="0" w:space="0" w:color="auto"/>
      </w:divBdr>
      <w:divsChild>
        <w:div w:id="1107390837">
          <w:marLeft w:val="0"/>
          <w:marRight w:val="0"/>
          <w:marTop w:val="0"/>
          <w:marBottom w:val="0"/>
          <w:divBdr>
            <w:top w:val="none" w:sz="0" w:space="0" w:color="auto"/>
            <w:left w:val="none" w:sz="0" w:space="0" w:color="auto"/>
            <w:bottom w:val="none" w:sz="0" w:space="0" w:color="auto"/>
            <w:right w:val="none" w:sz="0" w:space="0" w:color="auto"/>
          </w:divBdr>
        </w:div>
      </w:divsChild>
    </w:div>
    <w:div w:id="1340351727">
      <w:marLeft w:val="4"/>
      <w:marRight w:val="0"/>
      <w:marTop w:val="240"/>
      <w:marBottom w:val="0"/>
      <w:divBdr>
        <w:top w:val="none" w:sz="0" w:space="0" w:color="auto"/>
        <w:left w:val="none" w:sz="0" w:space="0" w:color="auto"/>
        <w:bottom w:val="none" w:sz="0" w:space="0" w:color="auto"/>
        <w:right w:val="none" w:sz="0" w:space="0" w:color="auto"/>
      </w:divBdr>
      <w:divsChild>
        <w:div w:id="1651903691">
          <w:marLeft w:val="0"/>
          <w:marRight w:val="0"/>
          <w:marTop w:val="0"/>
          <w:marBottom w:val="0"/>
          <w:divBdr>
            <w:top w:val="none" w:sz="0" w:space="0" w:color="auto"/>
            <w:left w:val="none" w:sz="0" w:space="0" w:color="auto"/>
            <w:bottom w:val="none" w:sz="0" w:space="0" w:color="auto"/>
            <w:right w:val="none" w:sz="0" w:space="0" w:color="auto"/>
          </w:divBdr>
        </w:div>
      </w:divsChild>
    </w:div>
    <w:div w:id="1347829937">
      <w:marLeft w:val="3"/>
      <w:marRight w:val="0"/>
      <w:marTop w:val="20"/>
      <w:marBottom w:val="0"/>
      <w:divBdr>
        <w:top w:val="none" w:sz="0" w:space="0" w:color="auto"/>
        <w:left w:val="none" w:sz="0" w:space="0" w:color="auto"/>
        <w:bottom w:val="none" w:sz="0" w:space="0" w:color="auto"/>
        <w:right w:val="none" w:sz="0" w:space="0" w:color="auto"/>
      </w:divBdr>
      <w:divsChild>
        <w:div w:id="215776634">
          <w:marLeft w:val="0"/>
          <w:marRight w:val="0"/>
          <w:marTop w:val="0"/>
          <w:marBottom w:val="0"/>
          <w:divBdr>
            <w:top w:val="none" w:sz="0" w:space="0" w:color="auto"/>
            <w:left w:val="none" w:sz="0" w:space="0" w:color="auto"/>
            <w:bottom w:val="none" w:sz="0" w:space="0" w:color="auto"/>
            <w:right w:val="none" w:sz="0" w:space="0" w:color="auto"/>
          </w:divBdr>
        </w:div>
      </w:divsChild>
    </w:div>
    <w:div w:id="1352997466">
      <w:marLeft w:val="3"/>
      <w:marRight w:val="0"/>
      <w:marTop w:val="240"/>
      <w:marBottom w:val="160"/>
      <w:divBdr>
        <w:top w:val="none" w:sz="0" w:space="0" w:color="auto"/>
        <w:left w:val="none" w:sz="0" w:space="0" w:color="auto"/>
        <w:bottom w:val="none" w:sz="0" w:space="0" w:color="auto"/>
        <w:right w:val="none" w:sz="0" w:space="0" w:color="auto"/>
      </w:divBdr>
      <w:divsChild>
        <w:div w:id="466819292">
          <w:marLeft w:val="0"/>
          <w:marRight w:val="0"/>
          <w:marTop w:val="0"/>
          <w:marBottom w:val="0"/>
          <w:divBdr>
            <w:top w:val="none" w:sz="0" w:space="0" w:color="auto"/>
            <w:left w:val="none" w:sz="0" w:space="0" w:color="auto"/>
            <w:bottom w:val="none" w:sz="0" w:space="0" w:color="auto"/>
            <w:right w:val="none" w:sz="0" w:space="0" w:color="auto"/>
          </w:divBdr>
        </w:div>
      </w:divsChild>
    </w:div>
    <w:div w:id="1369833963">
      <w:marLeft w:val="3"/>
      <w:marRight w:val="0"/>
      <w:marTop w:val="20"/>
      <w:marBottom w:val="0"/>
      <w:divBdr>
        <w:top w:val="none" w:sz="0" w:space="0" w:color="auto"/>
        <w:left w:val="none" w:sz="0" w:space="0" w:color="auto"/>
        <w:bottom w:val="none" w:sz="0" w:space="0" w:color="auto"/>
        <w:right w:val="none" w:sz="0" w:space="0" w:color="auto"/>
      </w:divBdr>
      <w:divsChild>
        <w:div w:id="732583147">
          <w:marLeft w:val="0"/>
          <w:marRight w:val="0"/>
          <w:marTop w:val="0"/>
          <w:marBottom w:val="0"/>
          <w:divBdr>
            <w:top w:val="none" w:sz="0" w:space="0" w:color="auto"/>
            <w:left w:val="none" w:sz="0" w:space="0" w:color="auto"/>
            <w:bottom w:val="none" w:sz="0" w:space="0" w:color="auto"/>
            <w:right w:val="none" w:sz="0" w:space="0" w:color="auto"/>
          </w:divBdr>
        </w:div>
      </w:divsChild>
    </w:div>
    <w:div w:id="1382166123">
      <w:marLeft w:val="3"/>
      <w:marRight w:val="0"/>
      <w:marTop w:val="240"/>
      <w:marBottom w:val="160"/>
      <w:divBdr>
        <w:top w:val="none" w:sz="0" w:space="0" w:color="auto"/>
        <w:left w:val="none" w:sz="0" w:space="0" w:color="auto"/>
        <w:bottom w:val="none" w:sz="0" w:space="0" w:color="auto"/>
        <w:right w:val="none" w:sz="0" w:space="0" w:color="auto"/>
      </w:divBdr>
      <w:divsChild>
        <w:div w:id="599988378">
          <w:marLeft w:val="0"/>
          <w:marRight w:val="0"/>
          <w:marTop w:val="0"/>
          <w:marBottom w:val="0"/>
          <w:divBdr>
            <w:top w:val="none" w:sz="0" w:space="0" w:color="auto"/>
            <w:left w:val="none" w:sz="0" w:space="0" w:color="auto"/>
            <w:bottom w:val="none" w:sz="0" w:space="0" w:color="auto"/>
            <w:right w:val="none" w:sz="0" w:space="0" w:color="auto"/>
          </w:divBdr>
        </w:div>
      </w:divsChild>
    </w:div>
    <w:div w:id="1403287885">
      <w:marLeft w:val="0"/>
      <w:marRight w:val="0"/>
      <w:marTop w:val="0"/>
      <w:marBottom w:val="0"/>
      <w:divBdr>
        <w:top w:val="none" w:sz="0" w:space="0" w:color="auto"/>
        <w:left w:val="none" w:sz="0" w:space="0" w:color="auto"/>
        <w:bottom w:val="none" w:sz="0" w:space="0" w:color="auto"/>
        <w:right w:val="none" w:sz="0" w:space="0" w:color="auto"/>
      </w:divBdr>
      <w:divsChild>
        <w:div w:id="2032759515">
          <w:marLeft w:val="0"/>
          <w:marRight w:val="0"/>
          <w:marTop w:val="120"/>
          <w:marBottom w:val="0"/>
          <w:divBdr>
            <w:top w:val="none" w:sz="0" w:space="0" w:color="auto"/>
            <w:left w:val="none" w:sz="0" w:space="0" w:color="auto"/>
            <w:bottom w:val="none" w:sz="0" w:space="0" w:color="auto"/>
            <w:right w:val="none" w:sz="0" w:space="0" w:color="auto"/>
          </w:divBdr>
          <w:divsChild>
            <w:div w:id="118886668">
              <w:marLeft w:val="0"/>
              <w:marRight w:val="0"/>
              <w:marTop w:val="0"/>
              <w:marBottom w:val="0"/>
              <w:divBdr>
                <w:top w:val="none" w:sz="0" w:space="0" w:color="auto"/>
                <w:left w:val="none" w:sz="0" w:space="0" w:color="auto"/>
                <w:bottom w:val="none" w:sz="0" w:space="0" w:color="auto"/>
                <w:right w:val="none" w:sz="0" w:space="0" w:color="auto"/>
              </w:divBdr>
            </w:div>
          </w:divsChild>
        </w:div>
        <w:div w:id="1450317706">
          <w:marLeft w:val="0"/>
          <w:marRight w:val="0"/>
          <w:marTop w:val="0"/>
          <w:marBottom w:val="0"/>
          <w:divBdr>
            <w:top w:val="none" w:sz="0" w:space="0" w:color="auto"/>
            <w:left w:val="none" w:sz="0" w:space="0" w:color="auto"/>
            <w:bottom w:val="none" w:sz="0" w:space="0" w:color="auto"/>
            <w:right w:val="none" w:sz="0" w:space="0" w:color="auto"/>
          </w:divBdr>
        </w:div>
        <w:div w:id="289821641">
          <w:marLeft w:val="0"/>
          <w:marRight w:val="0"/>
          <w:marTop w:val="0"/>
          <w:marBottom w:val="0"/>
          <w:divBdr>
            <w:top w:val="none" w:sz="0" w:space="0" w:color="auto"/>
            <w:left w:val="none" w:sz="0" w:space="0" w:color="auto"/>
            <w:bottom w:val="none" w:sz="0" w:space="0" w:color="auto"/>
            <w:right w:val="none" w:sz="0" w:space="0" w:color="auto"/>
          </w:divBdr>
        </w:div>
        <w:div w:id="1556165847">
          <w:marLeft w:val="0"/>
          <w:marRight w:val="0"/>
          <w:marTop w:val="0"/>
          <w:marBottom w:val="0"/>
          <w:divBdr>
            <w:top w:val="none" w:sz="0" w:space="0" w:color="auto"/>
            <w:left w:val="none" w:sz="0" w:space="0" w:color="auto"/>
            <w:bottom w:val="none" w:sz="0" w:space="0" w:color="auto"/>
            <w:right w:val="none" w:sz="0" w:space="0" w:color="auto"/>
          </w:divBdr>
        </w:div>
        <w:div w:id="930429190">
          <w:marLeft w:val="0"/>
          <w:marRight w:val="0"/>
          <w:marTop w:val="0"/>
          <w:marBottom w:val="0"/>
          <w:divBdr>
            <w:top w:val="none" w:sz="0" w:space="0" w:color="auto"/>
            <w:left w:val="none" w:sz="0" w:space="0" w:color="auto"/>
            <w:bottom w:val="none" w:sz="0" w:space="0" w:color="auto"/>
            <w:right w:val="none" w:sz="0" w:space="0" w:color="auto"/>
          </w:divBdr>
        </w:div>
        <w:div w:id="2127381973">
          <w:marLeft w:val="0"/>
          <w:marRight w:val="0"/>
          <w:marTop w:val="0"/>
          <w:marBottom w:val="0"/>
          <w:divBdr>
            <w:top w:val="none" w:sz="0" w:space="0" w:color="auto"/>
            <w:left w:val="none" w:sz="0" w:space="0" w:color="auto"/>
            <w:bottom w:val="none" w:sz="0" w:space="0" w:color="auto"/>
            <w:right w:val="none" w:sz="0" w:space="0" w:color="auto"/>
          </w:divBdr>
          <w:divsChild>
            <w:div w:id="912086312">
              <w:marLeft w:val="0"/>
              <w:marRight w:val="0"/>
              <w:marTop w:val="0"/>
              <w:marBottom w:val="0"/>
              <w:divBdr>
                <w:top w:val="none" w:sz="0" w:space="0" w:color="auto"/>
                <w:left w:val="none" w:sz="0" w:space="0" w:color="auto"/>
                <w:bottom w:val="none" w:sz="0" w:space="0" w:color="auto"/>
                <w:right w:val="none" w:sz="0" w:space="0" w:color="auto"/>
              </w:divBdr>
            </w:div>
          </w:divsChild>
        </w:div>
        <w:div w:id="743383278">
          <w:marLeft w:val="0"/>
          <w:marRight w:val="0"/>
          <w:marTop w:val="0"/>
          <w:marBottom w:val="0"/>
          <w:divBdr>
            <w:top w:val="none" w:sz="0" w:space="0" w:color="auto"/>
            <w:left w:val="none" w:sz="0" w:space="0" w:color="auto"/>
            <w:bottom w:val="none" w:sz="0" w:space="0" w:color="auto"/>
            <w:right w:val="none" w:sz="0" w:space="0" w:color="auto"/>
          </w:divBdr>
        </w:div>
        <w:div w:id="1294630817">
          <w:marLeft w:val="0"/>
          <w:marRight w:val="0"/>
          <w:marTop w:val="0"/>
          <w:marBottom w:val="0"/>
          <w:divBdr>
            <w:top w:val="none" w:sz="0" w:space="0" w:color="auto"/>
            <w:left w:val="none" w:sz="0" w:space="0" w:color="auto"/>
            <w:bottom w:val="none" w:sz="0" w:space="0" w:color="auto"/>
            <w:right w:val="none" w:sz="0" w:space="0" w:color="auto"/>
          </w:divBdr>
        </w:div>
        <w:div w:id="1931967097">
          <w:marLeft w:val="0"/>
          <w:marRight w:val="0"/>
          <w:marTop w:val="0"/>
          <w:marBottom w:val="0"/>
          <w:divBdr>
            <w:top w:val="none" w:sz="0" w:space="0" w:color="auto"/>
            <w:left w:val="none" w:sz="0" w:space="0" w:color="auto"/>
            <w:bottom w:val="none" w:sz="0" w:space="0" w:color="auto"/>
            <w:right w:val="none" w:sz="0" w:space="0" w:color="auto"/>
          </w:divBdr>
        </w:div>
        <w:div w:id="666832833">
          <w:marLeft w:val="0"/>
          <w:marRight w:val="0"/>
          <w:marTop w:val="0"/>
          <w:marBottom w:val="0"/>
          <w:divBdr>
            <w:top w:val="none" w:sz="0" w:space="0" w:color="auto"/>
            <w:left w:val="none" w:sz="0" w:space="0" w:color="auto"/>
            <w:bottom w:val="none" w:sz="0" w:space="0" w:color="auto"/>
            <w:right w:val="none" w:sz="0" w:space="0" w:color="auto"/>
          </w:divBdr>
        </w:div>
        <w:div w:id="2037269298">
          <w:marLeft w:val="0"/>
          <w:marRight w:val="0"/>
          <w:marTop w:val="0"/>
          <w:marBottom w:val="0"/>
          <w:divBdr>
            <w:top w:val="none" w:sz="0" w:space="0" w:color="auto"/>
            <w:left w:val="none" w:sz="0" w:space="0" w:color="auto"/>
            <w:bottom w:val="none" w:sz="0" w:space="0" w:color="auto"/>
            <w:right w:val="none" w:sz="0" w:space="0" w:color="auto"/>
          </w:divBdr>
        </w:div>
        <w:div w:id="1716733484">
          <w:marLeft w:val="0"/>
          <w:marRight w:val="0"/>
          <w:marTop w:val="0"/>
          <w:marBottom w:val="0"/>
          <w:divBdr>
            <w:top w:val="none" w:sz="0" w:space="0" w:color="auto"/>
            <w:left w:val="none" w:sz="0" w:space="0" w:color="auto"/>
            <w:bottom w:val="none" w:sz="0" w:space="0" w:color="auto"/>
            <w:right w:val="none" w:sz="0" w:space="0" w:color="auto"/>
          </w:divBdr>
        </w:div>
        <w:div w:id="270943910">
          <w:marLeft w:val="0"/>
          <w:marRight w:val="0"/>
          <w:marTop w:val="0"/>
          <w:marBottom w:val="0"/>
          <w:divBdr>
            <w:top w:val="none" w:sz="0" w:space="0" w:color="auto"/>
            <w:left w:val="none" w:sz="0" w:space="0" w:color="auto"/>
            <w:bottom w:val="none" w:sz="0" w:space="0" w:color="auto"/>
            <w:right w:val="none" w:sz="0" w:space="0" w:color="auto"/>
          </w:divBdr>
        </w:div>
        <w:div w:id="1581132492">
          <w:marLeft w:val="0"/>
          <w:marRight w:val="0"/>
          <w:marTop w:val="0"/>
          <w:marBottom w:val="0"/>
          <w:divBdr>
            <w:top w:val="none" w:sz="0" w:space="0" w:color="auto"/>
            <w:left w:val="none" w:sz="0" w:space="0" w:color="auto"/>
            <w:bottom w:val="none" w:sz="0" w:space="0" w:color="auto"/>
            <w:right w:val="none" w:sz="0" w:space="0" w:color="auto"/>
          </w:divBdr>
        </w:div>
        <w:div w:id="769661314">
          <w:marLeft w:val="0"/>
          <w:marRight w:val="0"/>
          <w:marTop w:val="0"/>
          <w:marBottom w:val="0"/>
          <w:divBdr>
            <w:top w:val="none" w:sz="0" w:space="0" w:color="auto"/>
            <w:left w:val="none" w:sz="0" w:space="0" w:color="auto"/>
            <w:bottom w:val="none" w:sz="0" w:space="0" w:color="auto"/>
            <w:right w:val="none" w:sz="0" w:space="0" w:color="auto"/>
          </w:divBdr>
          <w:divsChild>
            <w:div w:id="1566796555">
              <w:marLeft w:val="0"/>
              <w:marRight w:val="0"/>
              <w:marTop w:val="0"/>
              <w:marBottom w:val="0"/>
              <w:divBdr>
                <w:top w:val="none" w:sz="0" w:space="0" w:color="auto"/>
                <w:left w:val="none" w:sz="0" w:space="0" w:color="auto"/>
                <w:bottom w:val="none" w:sz="0" w:space="0" w:color="auto"/>
                <w:right w:val="none" w:sz="0" w:space="0" w:color="auto"/>
              </w:divBdr>
            </w:div>
          </w:divsChild>
        </w:div>
        <w:div w:id="604770888">
          <w:marLeft w:val="0"/>
          <w:marRight w:val="0"/>
          <w:marTop w:val="0"/>
          <w:marBottom w:val="0"/>
          <w:divBdr>
            <w:top w:val="none" w:sz="0" w:space="0" w:color="auto"/>
            <w:left w:val="none" w:sz="0" w:space="0" w:color="auto"/>
            <w:bottom w:val="none" w:sz="0" w:space="0" w:color="auto"/>
            <w:right w:val="none" w:sz="0" w:space="0" w:color="auto"/>
          </w:divBdr>
        </w:div>
        <w:div w:id="1882552899">
          <w:marLeft w:val="0"/>
          <w:marRight w:val="0"/>
          <w:marTop w:val="0"/>
          <w:marBottom w:val="0"/>
          <w:divBdr>
            <w:top w:val="none" w:sz="0" w:space="0" w:color="auto"/>
            <w:left w:val="none" w:sz="0" w:space="0" w:color="auto"/>
            <w:bottom w:val="none" w:sz="0" w:space="0" w:color="auto"/>
            <w:right w:val="none" w:sz="0" w:space="0" w:color="auto"/>
          </w:divBdr>
        </w:div>
        <w:div w:id="77945950">
          <w:marLeft w:val="0"/>
          <w:marRight w:val="0"/>
          <w:marTop w:val="0"/>
          <w:marBottom w:val="0"/>
          <w:divBdr>
            <w:top w:val="none" w:sz="0" w:space="0" w:color="auto"/>
            <w:left w:val="none" w:sz="0" w:space="0" w:color="auto"/>
            <w:bottom w:val="none" w:sz="0" w:space="0" w:color="auto"/>
            <w:right w:val="none" w:sz="0" w:space="0" w:color="auto"/>
          </w:divBdr>
        </w:div>
        <w:div w:id="772625358">
          <w:marLeft w:val="0"/>
          <w:marRight w:val="0"/>
          <w:marTop w:val="0"/>
          <w:marBottom w:val="0"/>
          <w:divBdr>
            <w:top w:val="none" w:sz="0" w:space="0" w:color="auto"/>
            <w:left w:val="none" w:sz="0" w:space="0" w:color="auto"/>
            <w:bottom w:val="none" w:sz="0" w:space="0" w:color="auto"/>
            <w:right w:val="none" w:sz="0" w:space="0" w:color="auto"/>
          </w:divBdr>
        </w:div>
        <w:div w:id="598568690">
          <w:marLeft w:val="0"/>
          <w:marRight w:val="0"/>
          <w:marTop w:val="0"/>
          <w:marBottom w:val="0"/>
          <w:divBdr>
            <w:top w:val="none" w:sz="0" w:space="0" w:color="auto"/>
            <w:left w:val="none" w:sz="0" w:space="0" w:color="auto"/>
            <w:bottom w:val="none" w:sz="0" w:space="0" w:color="auto"/>
            <w:right w:val="none" w:sz="0" w:space="0" w:color="auto"/>
          </w:divBdr>
        </w:div>
      </w:divsChild>
    </w:div>
    <w:div w:id="1406299977">
      <w:marLeft w:val="3"/>
      <w:marRight w:val="0"/>
      <w:marTop w:val="240"/>
      <w:marBottom w:val="160"/>
      <w:divBdr>
        <w:top w:val="none" w:sz="0" w:space="0" w:color="auto"/>
        <w:left w:val="none" w:sz="0" w:space="0" w:color="auto"/>
        <w:bottom w:val="none" w:sz="0" w:space="0" w:color="auto"/>
        <w:right w:val="none" w:sz="0" w:space="0" w:color="auto"/>
      </w:divBdr>
      <w:divsChild>
        <w:div w:id="30424521">
          <w:marLeft w:val="0"/>
          <w:marRight w:val="0"/>
          <w:marTop w:val="0"/>
          <w:marBottom w:val="0"/>
          <w:divBdr>
            <w:top w:val="none" w:sz="0" w:space="0" w:color="auto"/>
            <w:left w:val="none" w:sz="0" w:space="0" w:color="auto"/>
            <w:bottom w:val="none" w:sz="0" w:space="0" w:color="auto"/>
            <w:right w:val="none" w:sz="0" w:space="0" w:color="auto"/>
          </w:divBdr>
        </w:div>
      </w:divsChild>
    </w:div>
    <w:div w:id="1410273229">
      <w:marLeft w:val="4"/>
      <w:marRight w:val="0"/>
      <w:marTop w:val="120"/>
      <w:marBottom w:val="0"/>
      <w:divBdr>
        <w:top w:val="none" w:sz="0" w:space="0" w:color="auto"/>
        <w:left w:val="none" w:sz="0" w:space="0" w:color="auto"/>
        <w:bottom w:val="none" w:sz="0" w:space="0" w:color="auto"/>
        <w:right w:val="none" w:sz="0" w:space="0" w:color="auto"/>
      </w:divBdr>
      <w:divsChild>
        <w:div w:id="184754497">
          <w:marLeft w:val="0"/>
          <w:marRight w:val="0"/>
          <w:marTop w:val="0"/>
          <w:marBottom w:val="0"/>
          <w:divBdr>
            <w:top w:val="none" w:sz="0" w:space="0" w:color="auto"/>
            <w:left w:val="none" w:sz="0" w:space="0" w:color="auto"/>
            <w:bottom w:val="none" w:sz="0" w:space="0" w:color="auto"/>
            <w:right w:val="none" w:sz="0" w:space="0" w:color="auto"/>
          </w:divBdr>
        </w:div>
      </w:divsChild>
    </w:div>
    <w:div w:id="1412124641">
      <w:marLeft w:val="4"/>
      <w:marRight w:val="0"/>
      <w:marTop w:val="0"/>
      <w:marBottom w:val="0"/>
      <w:divBdr>
        <w:top w:val="none" w:sz="0" w:space="0" w:color="auto"/>
        <w:left w:val="none" w:sz="0" w:space="0" w:color="auto"/>
        <w:bottom w:val="none" w:sz="0" w:space="0" w:color="auto"/>
        <w:right w:val="none" w:sz="0" w:space="0" w:color="auto"/>
      </w:divBdr>
      <w:divsChild>
        <w:div w:id="1745569766">
          <w:marLeft w:val="0"/>
          <w:marRight w:val="0"/>
          <w:marTop w:val="0"/>
          <w:marBottom w:val="0"/>
          <w:divBdr>
            <w:top w:val="none" w:sz="0" w:space="0" w:color="auto"/>
            <w:left w:val="none" w:sz="0" w:space="0" w:color="auto"/>
            <w:bottom w:val="none" w:sz="0" w:space="0" w:color="auto"/>
            <w:right w:val="none" w:sz="0" w:space="0" w:color="auto"/>
          </w:divBdr>
        </w:div>
      </w:divsChild>
    </w:div>
    <w:div w:id="1415008508">
      <w:marLeft w:val="3"/>
      <w:marRight w:val="0"/>
      <w:marTop w:val="20"/>
      <w:marBottom w:val="0"/>
      <w:divBdr>
        <w:top w:val="none" w:sz="0" w:space="0" w:color="auto"/>
        <w:left w:val="none" w:sz="0" w:space="0" w:color="auto"/>
        <w:bottom w:val="none" w:sz="0" w:space="0" w:color="auto"/>
        <w:right w:val="none" w:sz="0" w:space="0" w:color="auto"/>
      </w:divBdr>
      <w:divsChild>
        <w:div w:id="288976789">
          <w:marLeft w:val="0"/>
          <w:marRight w:val="0"/>
          <w:marTop w:val="0"/>
          <w:marBottom w:val="0"/>
          <w:divBdr>
            <w:top w:val="none" w:sz="0" w:space="0" w:color="auto"/>
            <w:left w:val="none" w:sz="0" w:space="0" w:color="auto"/>
            <w:bottom w:val="none" w:sz="0" w:space="0" w:color="auto"/>
            <w:right w:val="none" w:sz="0" w:space="0" w:color="auto"/>
          </w:divBdr>
        </w:div>
      </w:divsChild>
    </w:div>
    <w:div w:id="1416126883">
      <w:marLeft w:val="0"/>
      <w:marRight w:val="0"/>
      <w:marTop w:val="0"/>
      <w:marBottom w:val="0"/>
      <w:divBdr>
        <w:top w:val="none" w:sz="0" w:space="0" w:color="auto"/>
        <w:left w:val="none" w:sz="0" w:space="0" w:color="auto"/>
        <w:bottom w:val="none" w:sz="0" w:space="0" w:color="auto"/>
        <w:right w:val="none" w:sz="0" w:space="0" w:color="auto"/>
      </w:divBdr>
      <w:divsChild>
        <w:div w:id="1562211378">
          <w:marLeft w:val="0"/>
          <w:marRight w:val="0"/>
          <w:marTop w:val="120"/>
          <w:marBottom w:val="0"/>
          <w:divBdr>
            <w:top w:val="none" w:sz="0" w:space="0" w:color="auto"/>
            <w:left w:val="none" w:sz="0" w:space="0" w:color="auto"/>
            <w:bottom w:val="none" w:sz="0" w:space="0" w:color="auto"/>
            <w:right w:val="none" w:sz="0" w:space="0" w:color="auto"/>
          </w:divBdr>
          <w:divsChild>
            <w:div w:id="198396422">
              <w:marLeft w:val="0"/>
              <w:marRight w:val="0"/>
              <w:marTop w:val="0"/>
              <w:marBottom w:val="0"/>
              <w:divBdr>
                <w:top w:val="none" w:sz="0" w:space="0" w:color="auto"/>
                <w:left w:val="none" w:sz="0" w:space="0" w:color="auto"/>
                <w:bottom w:val="none" w:sz="0" w:space="0" w:color="auto"/>
                <w:right w:val="none" w:sz="0" w:space="0" w:color="auto"/>
              </w:divBdr>
            </w:div>
          </w:divsChild>
        </w:div>
        <w:div w:id="1878085532">
          <w:marLeft w:val="0"/>
          <w:marRight w:val="0"/>
          <w:marTop w:val="0"/>
          <w:marBottom w:val="0"/>
          <w:divBdr>
            <w:top w:val="none" w:sz="0" w:space="0" w:color="auto"/>
            <w:left w:val="none" w:sz="0" w:space="0" w:color="auto"/>
            <w:bottom w:val="none" w:sz="0" w:space="0" w:color="auto"/>
            <w:right w:val="none" w:sz="0" w:space="0" w:color="auto"/>
          </w:divBdr>
        </w:div>
        <w:div w:id="1987123615">
          <w:marLeft w:val="0"/>
          <w:marRight w:val="0"/>
          <w:marTop w:val="0"/>
          <w:marBottom w:val="0"/>
          <w:divBdr>
            <w:top w:val="none" w:sz="0" w:space="0" w:color="auto"/>
            <w:left w:val="none" w:sz="0" w:space="0" w:color="auto"/>
            <w:bottom w:val="none" w:sz="0" w:space="0" w:color="auto"/>
            <w:right w:val="none" w:sz="0" w:space="0" w:color="auto"/>
          </w:divBdr>
        </w:div>
        <w:div w:id="1833180337">
          <w:marLeft w:val="0"/>
          <w:marRight w:val="0"/>
          <w:marTop w:val="0"/>
          <w:marBottom w:val="0"/>
          <w:divBdr>
            <w:top w:val="none" w:sz="0" w:space="0" w:color="auto"/>
            <w:left w:val="none" w:sz="0" w:space="0" w:color="auto"/>
            <w:bottom w:val="none" w:sz="0" w:space="0" w:color="auto"/>
            <w:right w:val="none" w:sz="0" w:space="0" w:color="auto"/>
          </w:divBdr>
        </w:div>
      </w:divsChild>
    </w:div>
    <w:div w:id="1428580939">
      <w:marLeft w:val="4"/>
      <w:marRight w:val="0"/>
      <w:marTop w:val="120"/>
      <w:marBottom w:val="0"/>
      <w:divBdr>
        <w:top w:val="none" w:sz="0" w:space="0" w:color="auto"/>
        <w:left w:val="none" w:sz="0" w:space="0" w:color="auto"/>
        <w:bottom w:val="none" w:sz="0" w:space="0" w:color="auto"/>
        <w:right w:val="none" w:sz="0" w:space="0" w:color="auto"/>
      </w:divBdr>
      <w:divsChild>
        <w:div w:id="381027604">
          <w:marLeft w:val="0"/>
          <w:marRight w:val="0"/>
          <w:marTop w:val="0"/>
          <w:marBottom w:val="0"/>
          <w:divBdr>
            <w:top w:val="none" w:sz="0" w:space="0" w:color="auto"/>
            <w:left w:val="none" w:sz="0" w:space="0" w:color="auto"/>
            <w:bottom w:val="none" w:sz="0" w:space="0" w:color="auto"/>
            <w:right w:val="none" w:sz="0" w:space="0" w:color="auto"/>
          </w:divBdr>
        </w:div>
      </w:divsChild>
    </w:div>
    <w:div w:id="1438057063">
      <w:marLeft w:val="4"/>
      <w:marRight w:val="0"/>
      <w:marTop w:val="120"/>
      <w:marBottom w:val="0"/>
      <w:divBdr>
        <w:top w:val="none" w:sz="0" w:space="0" w:color="auto"/>
        <w:left w:val="none" w:sz="0" w:space="0" w:color="auto"/>
        <w:bottom w:val="none" w:sz="0" w:space="0" w:color="auto"/>
        <w:right w:val="none" w:sz="0" w:space="0" w:color="auto"/>
      </w:divBdr>
      <w:divsChild>
        <w:div w:id="1974948298">
          <w:marLeft w:val="0"/>
          <w:marRight w:val="0"/>
          <w:marTop w:val="0"/>
          <w:marBottom w:val="0"/>
          <w:divBdr>
            <w:top w:val="none" w:sz="0" w:space="0" w:color="auto"/>
            <w:left w:val="none" w:sz="0" w:space="0" w:color="auto"/>
            <w:bottom w:val="none" w:sz="0" w:space="0" w:color="auto"/>
            <w:right w:val="none" w:sz="0" w:space="0" w:color="auto"/>
          </w:divBdr>
        </w:div>
      </w:divsChild>
    </w:div>
    <w:div w:id="1441029517">
      <w:marLeft w:val="4"/>
      <w:marRight w:val="0"/>
      <w:marTop w:val="120"/>
      <w:marBottom w:val="0"/>
      <w:divBdr>
        <w:top w:val="none" w:sz="0" w:space="0" w:color="auto"/>
        <w:left w:val="none" w:sz="0" w:space="0" w:color="auto"/>
        <w:bottom w:val="none" w:sz="0" w:space="0" w:color="auto"/>
        <w:right w:val="none" w:sz="0" w:space="0" w:color="auto"/>
      </w:divBdr>
      <w:divsChild>
        <w:div w:id="982809317">
          <w:marLeft w:val="0"/>
          <w:marRight w:val="0"/>
          <w:marTop w:val="0"/>
          <w:marBottom w:val="0"/>
          <w:divBdr>
            <w:top w:val="none" w:sz="0" w:space="0" w:color="auto"/>
            <w:left w:val="none" w:sz="0" w:space="0" w:color="auto"/>
            <w:bottom w:val="none" w:sz="0" w:space="0" w:color="auto"/>
            <w:right w:val="none" w:sz="0" w:space="0" w:color="auto"/>
          </w:divBdr>
        </w:div>
      </w:divsChild>
    </w:div>
    <w:div w:id="1464732807">
      <w:marLeft w:val="0"/>
      <w:marRight w:val="0"/>
      <w:marTop w:val="0"/>
      <w:marBottom w:val="0"/>
      <w:divBdr>
        <w:top w:val="none" w:sz="0" w:space="0" w:color="auto"/>
        <w:left w:val="none" w:sz="0" w:space="0" w:color="auto"/>
        <w:bottom w:val="none" w:sz="0" w:space="0" w:color="auto"/>
        <w:right w:val="none" w:sz="0" w:space="0" w:color="auto"/>
      </w:divBdr>
      <w:divsChild>
        <w:div w:id="938367625">
          <w:marLeft w:val="0"/>
          <w:marRight w:val="0"/>
          <w:marTop w:val="120"/>
          <w:marBottom w:val="0"/>
          <w:divBdr>
            <w:top w:val="none" w:sz="0" w:space="0" w:color="auto"/>
            <w:left w:val="none" w:sz="0" w:space="0" w:color="auto"/>
            <w:bottom w:val="none" w:sz="0" w:space="0" w:color="auto"/>
            <w:right w:val="none" w:sz="0" w:space="0" w:color="auto"/>
          </w:divBdr>
          <w:divsChild>
            <w:div w:id="1217549873">
              <w:marLeft w:val="0"/>
              <w:marRight w:val="0"/>
              <w:marTop w:val="0"/>
              <w:marBottom w:val="0"/>
              <w:divBdr>
                <w:top w:val="none" w:sz="0" w:space="0" w:color="auto"/>
                <w:left w:val="none" w:sz="0" w:space="0" w:color="auto"/>
                <w:bottom w:val="none" w:sz="0" w:space="0" w:color="auto"/>
                <w:right w:val="none" w:sz="0" w:space="0" w:color="auto"/>
              </w:divBdr>
            </w:div>
          </w:divsChild>
        </w:div>
        <w:div w:id="1113213537">
          <w:marLeft w:val="0"/>
          <w:marRight w:val="0"/>
          <w:marTop w:val="0"/>
          <w:marBottom w:val="0"/>
          <w:divBdr>
            <w:top w:val="none" w:sz="0" w:space="0" w:color="auto"/>
            <w:left w:val="none" w:sz="0" w:space="0" w:color="auto"/>
            <w:bottom w:val="none" w:sz="0" w:space="0" w:color="auto"/>
            <w:right w:val="none" w:sz="0" w:space="0" w:color="auto"/>
          </w:divBdr>
        </w:div>
        <w:div w:id="641467494">
          <w:marLeft w:val="0"/>
          <w:marRight w:val="0"/>
          <w:marTop w:val="0"/>
          <w:marBottom w:val="0"/>
          <w:divBdr>
            <w:top w:val="none" w:sz="0" w:space="0" w:color="auto"/>
            <w:left w:val="none" w:sz="0" w:space="0" w:color="auto"/>
            <w:bottom w:val="none" w:sz="0" w:space="0" w:color="auto"/>
            <w:right w:val="none" w:sz="0" w:space="0" w:color="auto"/>
          </w:divBdr>
        </w:div>
      </w:divsChild>
    </w:div>
    <w:div w:id="1465002352">
      <w:marLeft w:val="4"/>
      <w:marRight w:val="0"/>
      <w:marTop w:val="120"/>
      <w:marBottom w:val="0"/>
      <w:divBdr>
        <w:top w:val="none" w:sz="0" w:space="0" w:color="auto"/>
        <w:left w:val="none" w:sz="0" w:space="0" w:color="auto"/>
        <w:bottom w:val="none" w:sz="0" w:space="0" w:color="auto"/>
        <w:right w:val="none" w:sz="0" w:space="0" w:color="auto"/>
      </w:divBdr>
      <w:divsChild>
        <w:div w:id="517235161">
          <w:marLeft w:val="0"/>
          <w:marRight w:val="0"/>
          <w:marTop w:val="0"/>
          <w:marBottom w:val="0"/>
          <w:divBdr>
            <w:top w:val="none" w:sz="0" w:space="0" w:color="auto"/>
            <w:left w:val="none" w:sz="0" w:space="0" w:color="auto"/>
            <w:bottom w:val="none" w:sz="0" w:space="0" w:color="auto"/>
            <w:right w:val="none" w:sz="0" w:space="0" w:color="auto"/>
          </w:divBdr>
        </w:div>
      </w:divsChild>
    </w:div>
    <w:div w:id="1467115320">
      <w:marLeft w:val="3"/>
      <w:marRight w:val="0"/>
      <w:marTop w:val="20"/>
      <w:marBottom w:val="0"/>
      <w:divBdr>
        <w:top w:val="none" w:sz="0" w:space="0" w:color="auto"/>
        <w:left w:val="none" w:sz="0" w:space="0" w:color="auto"/>
        <w:bottom w:val="none" w:sz="0" w:space="0" w:color="auto"/>
        <w:right w:val="none" w:sz="0" w:space="0" w:color="auto"/>
      </w:divBdr>
      <w:divsChild>
        <w:div w:id="2051614218">
          <w:marLeft w:val="0"/>
          <w:marRight w:val="0"/>
          <w:marTop w:val="0"/>
          <w:marBottom w:val="0"/>
          <w:divBdr>
            <w:top w:val="none" w:sz="0" w:space="0" w:color="auto"/>
            <w:left w:val="none" w:sz="0" w:space="0" w:color="auto"/>
            <w:bottom w:val="none" w:sz="0" w:space="0" w:color="auto"/>
            <w:right w:val="none" w:sz="0" w:space="0" w:color="auto"/>
          </w:divBdr>
        </w:div>
      </w:divsChild>
    </w:div>
    <w:div w:id="1493984687">
      <w:marLeft w:val="4"/>
      <w:marRight w:val="0"/>
      <w:marTop w:val="120"/>
      <w:marBottom w:val="0"/>
      <w:divBdr>
        <w:top w:val="none" w:sz="0" w:space="0" w:color="auto"/>
        <w:left w:val="none" w:sz="0" w:space="0" w:color="auto"/>
        <w:bottom w:val="none" w:sz="0" w:space="0" w:color="auto"/>
        <w:right w:val="none" w:sz="0" w:space="0" w:color="auto"/>
      </w:divBdr>
      <w:divsChild>
        <w:div w:id="1317953899">
          <w:marLeft w:val="0"/>
          <w:marRight w:val="0"/>
          <w:marTop w:val="0"/>
          <w:marBottom w:val="0"/>
          <w:divBdr>
            <w:top w:val="none" w:sz="0" w:space="0" w:color="auto"/>
            <w:left w:val="none" w:sz="0" w:space="0" w:color="auto"/>
            <w:bottom w:val="none" w:sz="0" w:space="0" w:color="auto"/>
            <w:right w:val="none" w:sz="0" w:space="0" w:color="auto"/>
          </w:divBdr>
        </w:div>
      </w:divsChild>
    </w:div>
    <w:div w:id="1516306802">
      <w:marLeft w:val="3"/>
      <w:marRight w:val="0"/>
      <w:marTop w:val="20"/>
      <w:marBottom w:val="0"/>
      <w:divBdr>
        <w:top w:val="none" w:sz="0" w:space="0" w:color="auto"/>
        <w:left w:val="none" w:sz="0" w:space="0" w:color="auto"/>
        <w:bottom w:val="none" w:sz="0" w:space="0" w:color="auto"/>
        <w:right w:val="none" w:sz="0" w:space="0" w:color="auto"/>
      </w:divBdr>
      <w:divsChild>
        <w:div w:id="384837310">
          <w:marLeft w:val="0"/>
          <w:marRight w:val="0"/>
          <w:marTop w:val="0"/>
          <w:marBottom w:val="0"/>
          <w:divBdr>
            <w:top w:val="none" w:sz="0" w:space="0" w:color="auto"/>
            <w:left w:val="none" w:sz="0" w:space="0" w:color="auto"/>
            <w:bottom w:val="none" w:sz="0" w:space="0" w:color="auto"/>
            <w:right w:val="none" w:sz="0" w:space="0" w:color="auto"/>
          </w:divBdr>
        </w:div>
      </w:divsChild>
    </w:div>
    <w:div w:id="1550338300">
      <w:marLeft w:val="3"/>
      <w:marRight w:val="0"/>
      <w:marTop w:val="20"/>
      <w:marBottom w:val="0"/>
      <w:divBdr>
        <w:top w:val="none" w:sz="0" w:space="0" w:color="auto"/>
        <w:left w:val="none" w:sz="0" w:space="0" w:color="auto"/>
        <w:bottom w:val="none" w:sz="0" w:space="0" w:color="auto"/>
        <w:right w:val="none" w:sz="0" w:space="0" w:color="auto"/>
      </w:divBdr>
      <w:divsChild>
        <w:div w:id="558637918">
          <w:marLeft w:val="0"/>
          <w:marRight w:val="0"/>
          <w:marTop w:val="0"/>
          <w:marBottom w:val="0"/>
          <w:divBdr>
            <w:top w:val="none" w:sz="0" w:space="0" w:color="auto"/>
            <w:left w:val="none" w:sz="0" w:space="0" w:color="auto"/>
            <w:bottom w:val="none" w:sz="0" w:space="0" w:color="auto"/>
            <w:right w:val="none" w:sz="0" w:space="0" w:color="auto"/>
          </w:divBdr>
        </w:div>
      </w:divsChild>
    </w:div>
    <w:div w:id="1566406160">
      <w:marLeft w:val="4"/>
      <w:marRight w:val="0"/>
      <w:marTop w:val="120"/>
      <w:marBottom w:val="0"/>
      <w:divBdr>
        <w:top w:val="none" w:sz="0" w:space="0" w:color="auto"/>
        <w:left w:val="none" w:sz="0" w:space="0" w:color="auto"/>
        <w:bottom w:val="none" w:sz="0" w:space="0" w:color="auto"/>
        <w:right w:val="none" w:sz="0" w:space="0" w:color="auto"/>
      </w:divBdr>
      <w:divsChild>
        <w:div w:id="930355948">
          <w:marLeft w:val="0"/>
          <w:marRight w:val="0"/>
          <w:marTop w:val="0"/>
          <w:marBottom w:val="0"/>
          <w:divBdr>
            <w:top w:val="none" w:sz="0" w:space="0" w:color="auto"/>
            <w:left w:val="none" w:sz="0" w:space="0" w:color="auto"/>
            <w:bottom w:val="none" w:sz="0" w:space="0" w:color="auto"/>
            <w:right w:val="none" w:sz="0" w:space="0" w:color="auto"/>
          </w:divBdr>
        </w:div>
      </w:divsChild>
    </w:div>
    <w:div w:id="1566406419">
      <w:marLeft w:val="4"/>
      <w:marRight w:val="0"/>
      <w:marTop w:val="120"/>
      <w:marBottom w:val="0"/>
      <w:divBdr>
        <w:top w:val="none" w:sz="0" w:space="0" w:color="auto"/>
        <w:left w:val="none" w:sz="0" w:space="0" w:color="auto"/>
        <w:bottom w:val="none" w:sz="0" w:space="0" w:color="auto"/>
        <w:right w:val="none" w:sz="0" w:space="0" w:color="auto"/>
      </w:divBdr>
      <w:divsChild>
        <w:div w:id="189874767">
          <w:marLeft w:val="0"/>
          <w:marRight w:val="0"/>
          <w:marTop w:val="0"/>
          <w:marBottom w:val="0"/>
          <w:divBdr>
            <w:top w:val="none" w:sz="0" w:space="0" w:color="auto"/>
            <w:left w:val="none" w:sz="0" w:space="0" w:color="auto"/>
            <w:bottom w:val="none" w:sz="0" w:space="0" w:color="auto"/>
            <w:right w:val="none" w:sz="0" w:space="0" w:color="auto"/>
          </w:divBdr>
        </w:div>
      </w:divsChild>
    </w:div>
    <w:div w:id="1584993884">
      <w:marLeft w:val="0"/>
      <w:marRight w:val="0"/>
      <w:marTop w:val="0"/>
      <w:marBottom w:val="0"/>
      <w:divBdr>
        <w:top w:val="none" w:sz="0" w:space="0" w:color="auto"/>
        <w:left w:val="none" w:sz="0" w:space="0" w:color="auto"/>
        <w:bottom w:val="none" w:sz="0" w:space="0" w:color="auto"/>
        <w:right w:val="none" w:sz="0" w:space="0" w:color="auto"/>
      </w:divBdr>
      <w:divsChild>
        <w:div w:id="1120609137">
          <w:marLeft w:val="0"/>
          <w:marRight w:val="0"/>
          <w:marTop w:val="120"/>
          <w:marBottom w:val="0"/>
          <w:divBdr>
            <w:top w:val="none" w:sz="0" w:space="0" w:color="auto"/>
            <w:left w:val="none" w:sz="0" w:space="0" w:color="auto"/>
            <w:bottom w:val="none" w:sz="0" w:space="0" w:color="auto"/>
            <w:right w:val="none" w:sz="0" w:space="0" w:color="auto"/>
          </w:divBdr>
          <w:divsChild>
            <w:div w:id="1876499910">
              <w:marLeft w:val="0"/>
              <w:marRight w:val="0"/>
              <w:marTop w:val="0"/>
              <w:marBottom w:val="0"/>
              <w:divBdr>
                <w:top w:val="none" w:sz="0" w:space="0" w:color="auto"/>
                <w:left w:val="none" w:sz="0" w:space="0" w:color="auto"/>
                <w:bottom w:val="none" w:sz="0" w:space="0" w:color="auto"/>
                <w:right w:val="none" w:sz="0" w:space="0" w:color="auto"/>
              </w:divBdr>
            </w:div>
          </w:divsChild>
        </w:div>
        <w:div w:id="2033144240">
          <w:marLeft w:val="0"/>
          <w:marRight w:val="0"/>
          <w:marTop w:val="0"/>
          <w:marBottom w:val="0"/>
          <w:divBdr>
            <w:top w:val="none" w:sz="0" w:space="0" w:color="auto"/>
            <w:left w:val="none" w:sz="0" w:space="0" w:color="auto"/>
            <w:bottom w:val="none" w:sz="0" w:space="0" w:color="auto"/>
            <w:right w:val="none" w:sz="0" w:space="0" w:color="auto"/>
          </w:divBdr>
        </w:div>
      </w:divsChild>
    </w:div>
    <w:div w:id="1588415142">
      <w:marLeft w:val="3"/>
      <w:marRight w:val="0"/>
      <w:marTop w:val="0"/>
      <w:marBottom w:val="120"/>
      <w:divBdr>
        <w:top w:val="none" w:sz="0" w:space="0" w:color="auto"/>
        <w:left w:val="none" w:sz="0" w:space="0" w:color="auto"/>
        <w:bottom w:val="none" w:sz="0" w:space="0" w:color="auto"/>
        <w:right w:val="none" w:sz="0" w:space="0" w:color="auto"/>
      </w:divBdr>
      <w:divsChild>
        <w:div w:id="2013138670">
          <w:marLeft w:val="0"/>
          <w:marRight w:val="0"/>
          <w:marTop w:val="0"/>
          <w:marBottom w:val="0"/>
          <w:divBdr>
            <w:top w:val="none" w:sz="0" w:space="0" w:color="auto"/>
            <w:left w:val="none" w:sz="0" w:space="0" w:color="auto"/>
            <w:bottom w:val="none" w:sz="0" w:space="0" w:color="auto"/>
            <w:right w:val="none" w:sz="0" w:space="0" w:color="auto"/>
          </w:divBdr>
        </w:div>
      </w:divsChild>
    </w:div>
    <w:div w:id="1589121552">
      <w:marLeft w:val="4"/>
      <w:marRight w:val="0"/>
      <w:marTop w:val="0"/>
      <w:marBottom w:val="0"/>
      <w:divBdr>
        <w:top w:val="none" w:sz="0" w:space="0" w:color="auto"/>
        <w:left w:val="none" w:sz="0" w:space="0" w:color="auto"/>
        <w:bottom w:val="none" w:sz="0" w:space="0" w:color="auto"/>
        <w:right w:val="none" w:sz="0" w:space="0" w:color="auto"/>
      </w:divBdr>
      <w:divsChild>
        <w:div w:id="1536426273">
          <w:marLeft w:val="0"/>
          <w:marRight w:val="0"/>
          <w:marTop w:val="0"/>
          <w:marBottom w:val="0"/>
          <w:divBdr>
            <w:top w:val="none" w:sz="0" w:space="0" w:color="auto"/>
            <w:left w:val="none" w:sz="0" w:space="0" w:color="auto"/>
            <w:bottom w:val="none" w:sz="0" w:space="0" w:color="auto"/>
            <w:right w:val="none" w:sz="0" w:space="0" w:color="auto"/>
          </w:divBdr>
        </w:div>
      </w:divsChild>
    </w:div>
    <w:div w:id="1610702696">
      <w:marLeft w:val="3"/>
      <w:marRight w:val="0"/>
      <w:marTop w:val="20"/>
      <w:marBottom w:val="0"/>
      <w:divBdr>
        <w:top w:val="none" w:sz="0" w:space="0" w:color="auto"/>
        <w:left w:val="none" w:sz="0" w:space="0" w:color="auto"/>
        <w:bottom w:val="none" w:sz="0" w:space="0" w:color="auto"/>
        <w:right w:val="none" w:sz="0" w:space="0" w:color="auto"/>
      </w:divBdr>
      <w:divsChild>
        <w:div w:id="1721635867">
          <w:marLeft w:val="0"/>
          <w:marRight w:val="0"/>
          <w:marTop w:val="0"/>
          <w:marBottom w:val="0"/>
          <w:divBdr>
            <w:top w:val="none" w:sz="0" w:space="0" w:color="auto"/>
            <w:left w:val="none" w:sz="0" w:space="0" w:color="auto"/>
            <w:bottom w:val="none" w:sz="0" w:space="0" w:color="auto"/>
            <w:right w:val="none" w:sz="0" w:space="0" w:color="auto"/>
          </w:divBdr>
        </w:div>
      </w:divsChild>
    </w:div>
    <w:div w:id="1642880110">
      <w:marLeft w:val="4"/>
      <w:marRight w:val="0"/>
      <w:marTop w:val="0"/>
      <w:marBottom w:val="0"/>
      <w:divBdr>
        <w:top w:val="none" w:sz="0" w:space="0" w:color="auto"/>
        <w:left w:val="none" w:sz="0" w:space="0" w:color="auto"/>
        <w:bottom w:val="none" w:sz="0" w:space="0" w:color="auto"/>
        <w:right w:val="none" w:sz="0" w:space="0" w:color="auto"/>
      </w:divBdr>
      <w:divsChild>
        <w:div w:id="573659588">
          <w:marLeft w:val="0"/>
          <w:marRight w:val="0"/>
          <w:marTop w:val="0"/>
          <w:marBottom w:val="0"/>
          <w:divBdr>
            <w:top w:val="none" w:sz="0" w:space="0" w:color="auto"/>
            <w:left w:val="none" w:sz="0" w:space="0" w:color="auto"/>
            <w:bottom w:val="none" w:sz="0" w:space="0" w:color="auto"/>
            <w:right w:val="none" w:sz="0" w:space="0" w:color="auto"/>
          </w:divBdr>
        </w:div>
      </w:divsChild>
    </w:div>
    <w:div w:id="1665669240">
      <w:marLeft w:val="4"/>
      <w:marRight w:val="0"/>
      <w:marTop w:val="120"/>
      <w:marBottom w:val="0"/>
      <w:divBdr>
        <w:top w:val="none" w:sz="0" w:space="0" w:color="auto"/>
        <w:left w:val="none" w:sz="0" w:space="0" w:color="auto"/>
        <w:bottom w:val="none" w:sz="0" w:space="0" w:color="auto"/>
        <w:right w:val="none" w:sz="0" w:space="0" w:color="auto"/>
      </w:divBdr>
      <w:divsChild>
        <w:div w:id="618876052">
          <w:marLeft w:val="0"/>
          <w:marRight w:val="0"/>
          <w:marTop w:val="0"/>
          <w:marBottom w:val="0"/>
          <w:divBdr>
            <w:top w:val="none" w:sz="0" w:space="0" w:color="auto"/>
            <w:left w:val="none" w:sz="0" w:space="0" w:color="auto"/>
            <w:bottom w:val="none" w:sz="0" w:space="0" w:color="auto"/>
            <w:right w:val="none" w:sz="0" w:space="0" w:color="auto"/>
          </w:divBdr>
        </w:div>
      </w:divsChild>
    </w:div>
    <w:div w:id="1670252542">
      <w:marLeft w:val="4"/>
      <w:marRight w:val="0"/>
      <w:marTop w:val="120"/>
      <w:marBottom w:val="0"/>
      <w:divBdr>
        <w:top w:val="none" w:sz="0" w:space="0" w:color="auto"/>
        <w:left w:val="none" w:sz="0" w:space="0" w:color="auto"/>
        <w:bottom w:val="none" w:sz="0" w:space="0" w:color="auto"/>
        <w:right w:val="none" w:sz="0" w:space="0" w:color="auto"/>
      </w:divBdr>
      <w:divsChild>
        <w:div w:id="887883732">
          <w:marLeft w:val="0"/>
          <w:marRight w:val="0"/>
          <w:marTop w:val="0"/>
          <w:marBottom w:val="0"/>
          <w:divBdr>
            <w:top w:val="none" w:sz="0" w:space="0" w:color="auto"/>
            <w:left w:val="none" w:sz="0" w:space="0" w:color="auto"/>
            <w:bottom w:val="none" w:sz="0" w:space="0" w:color="auto"/>
            <w:right w:val="none" w:sz="0" w:space="0" w:color="auto"/>
          </w:divBdr>
        </w:div>
      </w:divsChild>
    </w:div>
    <w:div w:id="1704986949">
      <w:marLeft w:val="3"/>
      <w:marRight w:val="0"/>
      <w:marTop w:val="0"/>
      <w:marBottom w:val="120"/>
      <w:divBdr>
        <w:top w:val="none" w:sz="0" w:space="0" w:color="auto"/>
        <w:left w:val="none" w:sz="0" w:space="0" w:color="auto"/>
        <w:bottom w:val="none" w:sz="0" w:space="0" w:color="auto"/>
        <w:right w:val="none" w:sz="0" w:space="0" w:color="auto"/>
      </w:divBdr>
      <w:divsChild>
        <w:div w:id="172915656">
          <w:marLeft w:val="0"/>
          <w:marRight w:val="0"/>
          <w:marTop w:val="0"/>
          <w:marBottom w:val="0"/>
          <w:divBdr>
            <w:top w:val="none" w:sz="0" w:space="0" w:color="auto"/>
            <w:left w:val="none" w:sz="0" w:space="0" w:color="auto"/>
            <w:bottom w:val="none" w:sz="0" w:space="0" w:color="auto"/>
            <w:right w:val="none" w:sz="0" w:space="0" w:color="auto"/>
          </w:divBdr>
        </w:div>
      </w:divsChild>
    </w:div>
    <w:div w:id="1727610518">
      <w:marLeft w:val="4"/>
      <w:marRight w:val="0"/>
      <w:marTop w:val="40"/>
      <w:marBottom w:val="0"/>
      <w:divBdr>
        <w:top w:val="none" w:sz="0" w:space="0" w:color="auto"/>
        <w:left w:val="none" w:sz="0" w:space="0" w:color="auto"/>
        <w:bottom w:val="none" w:sz="0" w:space="0" w:color="auto"/>
        <w:right w:val="none" w:sz="0" w:space="0" w:color="auto"/>
      </w:divBdr>
      <w:divsChild>
        <w:div w:id="1307588721">
          <w:marLeft w:val="0"/>
          <w:marRight w:val="0"/>
          <w:marTop w:val="0"/>
          <w:marBottom w:val="0"/>
          <w:divBdr>
            <w:top w:val="none" w:sz="0" w:space="0" w:color="auto"/>
            <w:left w:val="none" w:sz="0" w:space="0" w:color="auto"/>
            <w:bottom w:val="none" w:sz="0" w:space="0" w:color="auto"/>
            <w:right w:val="none" w:sz="0" w:space="0" w:color="auto"/>
          </w:divBdr>
        </w:div>
      </w:divsChild>
    </w:div>
    <w:div w:id="1730878965">
      <w:marLeft w:val="4"/>
      <w:marRight w:val="0"/>
      <w:marTop w:val="120"/>
      <w:marBottom w:val="0"/>
      <w:divBdr>
        <w:top w:val="none" w:sz="0" w:space="0" w:color="auto"/>
        <w:left w:val="none" w:sz="0" w:space="0" w:color="auto"/>
        <w:bottom w:val="none" w:sz="0" w:space="0" w:color="auto"/>
        <w:right w:val="none" w:sz="0" w:space="0" w:color="auto"/>
      </w:divBdr>
      <w:divsChild>
        <w:div w:id="288441361">
          <w:marLeft w:val="0"/>
          <w:marRight w:val="0"/>
          <w:marTop w:val="0"/>
          <w:marBottom w:val="0"/>
          <w:divBdr>
            <w:top w:val="none" w:sz="0" w:space="0" w:color="auto"/>
            <w:left w:val="none" w:sz="0" w:space="0" w:color="auto"/>
            <w:bottom w:val="none" w:sz="0" w:space="0" w:color="auto"/>
            <w:right w:val="none" w:sz="0" w:space="0" w:color="auto"/>
          </w:divBdr>
        </w:div>
      </w:divsChild>
    </w:div>
    <w:div w:id="1740059357">
      <w:marLeft w:val="3"/>
      <w:marRight w:val="0"/>
      <w:marTop w:val="20"/>
      <w:marBottom w:val="0"/>
      <w:divBdr>
        <w:top w:val="none" w:sz="0" w:space="0" w:color="auto"/>
        <w:left w:val="none" w:sz="0" w:space="0" w:color="auto"/>
        <w:bottom w:val="none" w:sz="0" w:space="0" w:color="auto"/>
        <w:right w:val="none" w:sz="0" w:space="0" w:color="auto"/>
      </w:divBdr>
      <w:divsChild>
        <w:div w:id="1621916930">
          <w:marLeft w:val="0"/>
          <w:marRight w:val="0"/>
          <w:marTop w:val="0"/>
          <w:marBottom w:val="0"/>
          <w:divBdr>
            <w:top w:val="none" w:sz="0" w:space="0" w:color="auto"/>
            <w:left w:val="none" w:sz="0" w:space="0" w:color="auto"/>
            <w:bottom w:val="none" w:sz="0" w:space="0" w:color="auto"/>
            <w:right w:val="none" w:sz="0" w:space="0" w:color="auto"/>
          </w:divBdr>
        </w:div>
      </w:divsChild>
    </w:div>
    <w:div w:id="1753042180">
      <w:marLeft w:val="4"/>
      <w:marRight w:val="0"/>
      <w:marTop w:val="120"/>
      <w:marBottom w:val="0"/>
      <w:divBdr>
        <w:top w:val="none" w:sz="0" w:space="0" w:color="auto"/>
        <w:left w:val="none" w:sz="0" w:space="0" w:color="auto"/>
        <w:bottom w:val="none" w:sz="0" w:space="0" w:color="auto"/>
        <w:right w:val="none" w:sz="0" w:space="0" w:color="auto"/>
      </w:divBdr>
      <w:divsChild>
        <w:div w:id="2044137759">
          <w:marLeft w:val="0"/>
          <w:marRight w:val="0"/>
          <w:marTop w:val="0"/>
          <w:marBottom w:val="0"/>
          <w:divBdr>
            <w:top w:val="none" w:sz="0" w:space="0" w:color="auto"/>
            <w:left w:val="none" w:sz="0" w:space="0" w:color="auto"/>
            <w:bottom w:val="none" w:sz="0" w:space="0" w:color="auto"/>
            <w:right w:val="none" w:sz="0" w:space="0" w:color="auto"/>
          </w:divBdr>
        </w:div>
      </w:divsChild>
    </w:div>
    <w:div w:id="1764178793">
      <w:marLeft w:val="4"/>
      <w:marRight w:val="0"/>
      <w:marTop w:val="120"/>
      <w:marBottom w:val="0"/>
      <w:divBdr>
        <w:top w:val="none" w:sz="0" w:space="0" w:color="auto"/>
        <w:left w:val="none" w:sz="0" w:space="0" w:color="auto"/>
        <w:bottom w:val="none" w:sz="0" w:space="0" w:color="auto"/>
        <w:right w:val="none" w:sz="0" w:space="0" w:color="auto"/>
      </w:divBdr>
      <w:divsChild>
        <w:div w:id="1240755330">
          <w:marLeft w:val="0"/>
          <w:marRight w:val="0"/>
          <w:marTop w:val="0"/>
          <w:marBottom w:val="0"/>
          <w:divBdr>
            <w:top w:val="none" w:sz="0" w:space="0" w:color="auto"/>
            <w:left w:val="none" w:sz="0" w:space="0" w:color="auto"/>
            <w:bottom w:val="none" w:sz="0" w:space="0" w:color="auto"/>
            <w:right w:val="none" w:sz="0" w:space="0" w:color="auto"/>
          </w:divBdr>
        </w:div>
      </w:divsChild>
    </w:div>
    <w:div w:id="1770814834">
      <w:marLeft w:val="4"/>
      <w:marRight w:val="0"/>
      <w:marTop w:val="120"/>
      <w:marBottom w:val="0"/>
      <w:divBdr>
        <w:top w:val="none" w:sz="0" w:space="0" w:color="auto"/>
        <w:left w:val="none" w:sz="0" w:space="0" w:color="auto"/>
        <w:bottom w:val="none" w:sz="0" w:space="0" w:color="auto"/>
        <w:right w:val="none" w:sz="0" w:space="0" w:color="auto"/>
      </w:divBdr>
      <w:divsChild>
        <w:div w:id="1001734285">
          <w:marLeft w:val="0"/>
          <w:marRight w:val="0"/>
          <w:marTop w:val="0"/>
          <w:marBottom w:val="0"/>
          <w:divBdr>
            <w:top w:val="none" w:sz="0" w:space="0" w:color="auto"/>
            <w:left w:val="none" w:sz="0" w:space="0" w:color="auto"/>
            <w:bottom w:val="none" w:sz="0" w:space="0" w:color="auto"/>
            <w:right w:val="none" w:sz="0" w:space="0" w:color="auto"/>
          </w:divBdr>
        </w:div>
      </w:divsChild>
    </w:div>
    <w:div w:id="1771848026">
      <w:marLeft w:val="3"/>
      <w:marRight w:val="0"/>
      <w:marTop w:val="20"/>
      <w:marBottom w:val="0"/>
      <w:divBdr>
        <w:top w:val="none" w:sz="0" w:space="0" w:color="auto"/>
        <w:left w:val="none" w:sz="0" w:space="0" w:color="auto"/>
        <w:bottom w:val="none" w:sz="0" w:space="0" w:color="auto"/>
        <w:right w:val="none" w:sz="0" w:space="0" w:color="auto"/>
      </w:divBdr>
      <w:divsChild>
        <w:div w:id="242686570">
          <w:marLeft w:val="0"/>
          <w:marRight w:val="0"/>
          <w:marTop w:val="0"/>
          <w:marBottom w:val="0"/>
          <w:divBdr>
            <w:top w:val="none" w:sz="0" w:space="0" w:color="auto"/>
            <w:left w:val="none" w:sz="0" w:space="0" w:color="auto"/>
            <w:bottom w:val="none" w:sz="0" w:space="0" w:color="auto"/>
            <w:right w:val="none" w:sz="0" w:space="0" w:color="auto"/>
          </w:divBdr>
        </w:div>
      </w:divsChild>
    </w:div>
    <w:div w:id="1804496975">
      <w:marLeft w:val="4"/>
      <w:marRight w:val="0"/>
      <w:marTop w:val="120"/>
      <w:marBottom w:val="0"/>
      <w:divBdr>
        <w:top w:val="none" w:sz="0" w:space="0" w:color="auto"/>
        <w:left w:val="none" w:sz="0" w:space="0" w:color="auto"/>
        <w:bottom w:val="none" w:sz="0" w:space="0" w:color="auto"/>
        <w:right w:val="none" w:sz="0" w:space="0" w:color="auto"/>
      </w:divBdr>
      <w:divsChild>
        <w:div w:id="542792957">
          <w:marLeft w:val="0"/>
          <w:marRight w:val="0"/>
          <w:marTop w:val="0"/>
          <w:marBottom w:val="0"/>
          <w:divBdr>
            <w:top w:val="none" w:sz="0" w:space="0" w:color="auto"/>
            <w:left w:val="none" w:sz="0" w:space="0" w:color="auto"/>
            <w:bottom w:val="none" w:sz="0" w:space="0" w:color="auto"/>
            <w:right w:val="none" w:sz="0" w:space="0" w:color="auto"/>
          </w:divBdr>
        </w:div>
      </w:divsChild>
    </w:div>
    <w:div w:id="1810245441">
      <w:marLeft w:val="4"/>
      <w:marRight w:val="0"/>
      <w:marTop w:val="0"/>
      <w:marBottom w:val="0"/>
      <w:divBdr>
        <w:top w:val="none" w:sz="0" w:space="0" w:color="auto"/>
        <w:left w:val="none" w:sz="0" w:space="0" w:color="auto"/>
        <w:bottom w:val="none" w:sz="0" w:space="0" w:color="auto"/>
        <w:right w:val="none" w:sz="0" w:space="0" w:color="auto"/>
      </w:divBdr>
      <w:divsChild>
        <w:div w:id="622347155">
          <w:marLeft w:val="0"/>
          <w:marRight w:val="0"/>
          <w:marTop w:val="0"/>
          <w:marBottom w:val="0"/>
          <w:divBdr>
            <w:top w:val="none" w:sz="0" w:space="0" w:color="auto"/>
            <w:left w:val="none" w:sz="0" w:space="0" w:color="auto"/>
            <w:bottom w:val="none" w:sz="0" w:space="0" w:color="auto"/>
            <w:right w:val="none" w:sz="0" w:space="0" w:color="auto"/>
          </w:divBdr>
        </w:div>
      </w:divsChild>
    </w:div>
    <w:div w:id="1816675794">
      <w:marLeft w:val="3"/>
      <w:marRight w:val="0"/>
      <w:marTop w:val="20"/>
      <w:marBottom w:val="0"/>
      <w:divBdr>
        <w:top w:val="none" w:sz="0" w:space="0" w:color="auto"/>
        <w:left w:val="none" w:sz="0" w:space="0" w:color="auto"/>
        <w:bottom w:val="none" w:sz="0" w:space="0" w:color="auto"/>
        <w:right w:val="none" w:sz="0" w:space="0" w:color="auto"/>
      </w:divBdr>
      <w:divsChild>
        <w:div w:id="243150170">
          <w:marLeft w:val="0"/>
          <w:marRight w:val="0"/>
          <w:marTop w:val="0"/>
          <w:marBottom w:val="0"/>
          <w:divBdr>
            <w:top w:val="none" w:sz="0" w:space="0" w:color="auto"/>
            <w:left w:val="none" w:sz="0" w:space="0" w:color="auto"/>
            <w:bottom w:val="none" w:sz="0" w:space="0" w:color="auto"/>
            <w:right w:val="none" w:sz="0" w:space="0" w:color="auto"/>
          </w:divBdr>
        </w:div>
      </w:divsChild>
    </w:div>
    <w:div w:id="1825462474">
      <w:marLeft w:val="3"/>
      <w:marRight w:val="0"/>
      <w:marTop w:val="0"/>
      <w:marBottom w:val="0"/>
      <w:divBdr>
        <w:top w:val="none" w:sz="0" w:space="0" w:color="auto"/>
        <w:left w:val="none" w:sz="0" w:space="0" w:color="auto"/>
        <w:bottom w:val="none" w:sz="0" w:space="0" w:color="auto"/>
        <w:right w:val="none" w:sz="0" w:space="0" w:color="auto"/>
      </w:divBdr>
      <w:divsChild>
        <w:div w:id="86391785">
          <w:marLeft w:val="0"/>
          <w:marRight w:val="0"/>
          <w:marTop w:val="0"/>
          <w:marBottom w:val="0"/>
          <w:divBdr>
            <w:top w:val="none" w:sz="0" w:space="0" w:color="auto"/>
            <w:left w:val="none" w:sz="0" w:space="0" w:color="auto"/>
            <w:bottom w:val="none" w:sz="0" w:space="0" w:color="auto"/>
            <w:right w:val="none" w:sz="0" w:space="0" w:color="auto"/>
          </w:divBdr>
        </w:div>
      </w:divsChild>
    </w:div>
    <w:div w:id="1835878194">
      <w:marLeft w:val="0"/>
      <w:marRight w:val="0"/>
      <w:marTop w:val="0"/>
      <w:marBottom w:val="0"/>
      <w:divBdr>
        <w:top w:val="none" w:sz="0" w:space="0" w:color="auto"/>
        <w:left w:val="none" w:sz="0" w:space="0" w:color="auto"/>
        <w:bottom w:val="none" w:sz="0" w:space="0" w:color="auto"/>
        <w:right w:val="none" w:sz="0" w:space="0" w:color="auto"/>
      </w:divBdr>
      <w:divsChild>
        <w:div w:id="1005472433">
          <w:marLeft w:val="0"/>
          <w:marRight w:val="0"/>
          <w:marTop w:val="120"/>
          <w:marBottom w:val="0"/>
          <w:divBdr>
            <w:top w:val="none" w:sz="0" w:space="0" w:color="auto"/>
            <w:left w:val="none" w:sz="0" w:space="0" w:color="auto"/>
            <w:bottom w:val="none" w:sz="0" w:space="0" w:color="auto"/>
            <w:right w:val="none" w:sz="0" w:space="0" w:color="auto"/>
          </w:divBdr>
          <w:divsChild>
            <w:div w:id="1195535462">
              <w:marLeft w:val="0"/>
              <w:marRight w:val="0"/>
              <w:marTop w:val="0"/>
              <w:marBottom w:val="0"/>
              <w:divBdr>
                <w:top w:val="none" w:sz="0" w:space="0" w:color="auto"/>
                <w:left w:val="none" w:sz="0" w:space="0" w:color="auto"/>
                <w:bottom w:val="none" w:sz="0" w:space="0" w:color="auto"/>
                <w:right w:val="none" w:sz="0" w:space="0" w:color="auto"/>
              </w:divBdr>
            </w:div>
          </w:divsChild>
        </w:div>
        <w:div w:id="1957060040">
          <w:marLeft w:val="0"/>
          <w:marRight w:val="0"/>
          <w:marTop w:val="0"/>
          <w:marBottom w:val="0"/>
          <w:divBdr>
            <w:top w:val="none" w:sz="0" w:space="0" w:color="auto"/>
            <w:left w:val="none" w:sz="0" w:space="0" w:color="auto"/>
            <w:bottom w:val="none" w:sz="0" w:space="0" w:color="auto"/>
            <w:right w:val="none" w:sz="0" w:space="0" w:color="auto"/>
          </w:divBdr>
        </w:div>
      </w:divsChild>
    </w:div>
    <w:div w:id="1858811198">
      <w:marLeft w:val="3"/>
      <w:marRight w:val="0"/>
      <w:marTop w:val="240"/>
      <w:marBottom w:val="160"/>
      <w:divBdr>
        <w:top w:val="none" w:sz="0" w:space="0" w:color="auto"/>
        <w:left w:val="none" w:sz="0" w:space="0" w:color="auto"/>
        <w:bottom w:val="none" w:sz="0" w:space="0" w:color="auto"/>
        <w:right w:val="none" w:sz="0" w:space="0" w:color="auto"/>
      </w:divBdr>
      <w:divsChild>
        <w:div w:id="1951886910">
          <w:marLeft w:val="0"/>
          <w:marRight w:val="0"/>
          <w:marTop w:val="0"/>
          <w:marBottom w:val="0"/>
          <w:divBdr>
            <w:top w:val="none" w:sz="0" w:space="0" w:color="auto"/>
            <w:left w:val="none" w:sz="0" w:space="0" w:color="auto"/>
            <w:bottom w:val="none" w:sz="0" w:space="0" w:color="auto"/>
            <w:right w:val="none" w:sz="0" w:space="0" w:color="auto"/>
          </w:divBdr>
        </w:div>
      </w:divsChild>
    </w:div>
    <w:div w:id="1863588759">
      <w:marLeft w:val="4"/>
      <w:marRight w:val="0"/>
      <w:marTop w:val="240"/>
      <w:marBottom w:val="0"/>
      <w:divBdr>
        <w:top w:val="none" w:sz="0" w:space="0" w:color="auto"/>
        <w:left w:val="none" w:sz="0" w:space="0" w:color="auto"/>
        <w:bottom w:val="none" w:sz="0" w:space="0" w:color="auto"/>
        <w:right w:val="none" w:sz="0" w:space="0" w:color="auto"/>
      </w:divBdr>
      <w:divsChild>
        <w:div w:id="1387337689">
          <w:marLeft w:val="0"/>
          <w:marRight w:val="0"/>
          <w:marTop w:val="0"/>
          <w:marBottom w:val="0"/>
          <w:divBdr>
            <w:top w:val="none" w:sz="0" w:space="0" w:color="auto"/>
            <w:left w:val="none" w:sz="0" w:space="0" w:color="auto"/>
            <w:bottom w:val="none" w:sz="0" w:space="0" w:color="auto"/>
            <w:right w:val="none" w:sz="0" w:space="0" w:color="auto"/>
          </w:divBdr>
        </w:div>
      </w:divsChild>
    </w:div>
    <w:div w:id="1873299950">
      <w:marLeft w:val="4"/>
      <w:marRight w:val="0"/>
      <w:marTop w:val="120"/>
      <w:marBottom w:val="0"/>
      <w:divBdr>
        <w:top w:val="none" w:sz="0" w:space="0" w:color="auto"/>
        <w:left w:val="none" w:sz="0" w:space="0" w:color="auto"/>
        <w:bottom w:val="none" w:sz="0" w:space="0" w:color="auto"/>
        <w:right w:val="none" w:sz="0" w:space="0" w:color="auto"/>
      </w:divBdr>
      <w:divsChild>
        <w:div w:id="280116454">
          <w:marLeft w:val="0"/>
          <w:marRight w:val="0"/>
          <w:marTop w:val="0"/>
          <w:marBottom w:val="0"/>
          <w:divBdr>
            <w:top w:val="none" w:sz="0" w:space="0" w:color="auto"/>
            <w:left w:val="none" w:sz="0" w:space="0" w:color="auto"/>
            <w:bottom w:val="none" w:sz="0" w:space="0" w:color="auto"/>
            <w:right w:val="none" w:sz="0" w:space="0" w:color="auto"/>
          </w:divBdr>
        </w:div>
      </w:divsChild>
    </w:div>
    <w:div w:id="1884975074">
      <w:marLeft w:val="3"/>
      <w:marRight w:val="0"/>
      <w:marTop w:val="20"/>
      <w:marBottom w:val="0"/>
      <w:divBdr>
        <w:top w:val="none" w:sz="0" w:space="0" w:color="auto"/>
        <w:left w:val="none" w:sz="0" w:space="0" w:color="auto"/>
        <w:bottom w:val="none" w:sz="0" w:space="0" w:color="auto"/>
        <w:right w:val="none" w:sz="0" w:space="0" w:color="auto"/>
      </w:divBdr>
      <w:divsChild>
        <w:div w:id="413163132">
          <w:marLeft w:val="0"/>
          <w:marRight w:val="0"/>
          <w:marTop w:val="0"/>
          <w:marBottom w:val="0"/>
          <w:divBdr>
            <w:top w:val="none" w:sz="0" w:space="0" w:color="auto"/>
            <w:left w:val="none" w:sz="0" w:space="0" w:color="auto"/>
            <w:bottom w:val="none" w:sz="0" w:space="0" w:color="auto"/>
            <w:right w:val="none" w:sz="0" w:space="0" w:color="auto"/>
          </w:divBdr>
        </w:div>
      </w:divsChild>
    </w:div>
    <w:div w:id="1886328418">
      <w:marLeft w:val="4"/>
      <w:marRight w:val="0"/>
      <w:marTop w:val="120"/>
      <w:marBottom w:val="0"/>
      <w:divBdr>
        <w:top w:val="none" w:sz="0" w:space="0" w:color="auto"/>
        <w:left w:val="none" w:sz="0" w:space="0" w:color="auto"/>
        <w:bottom w:val="none" w:sz="0" w:space="0" w:color="auto"/>
        <w:right w:val="none" w:sz="0" w:space="0" w:color="auto"/>
      </w:divBdr>
      <w:divsChild>
        <w:div w:id="1700397389">
          <w:marLeft w:val="0"/>
          <w:marRight w:val="0"/>
          <w:marTop w:val="0"/>
          <w:marBottom w:val="0"/>
          <w:divBdr>
            <w:top w:val="none" w:sz="0" w:space="0" w:color="auto"/>
            <w:left w:val="none" w:sz="0" w:space="0" w:color="auto"/>
            <w:bottom w:val="none" w:sz="0" w:space="0" w:color="auto"/>
            <w:right w:val="none" w:sz="0" w:space="0" w:color="auto"/>
          </w:divBdr>
        </w:div>
      </w:divsChild>
    </w:div>
    <w:div w:id="1889488849">
      <w:marLeft w:val="4"/>
      <w:marRight w:val="0"/>
      <w:marTop w:val="120"/>
      <w:marBottom w:val="0"/>
      <w:divBdr>
        <w:top w:val="none" w:sz="0" w:space="0" w:color="auto"/>
        <w:left w:val="none" w:sz="0" w:space="0" w:color="auto"/>
        <w:bottom w:val="none" w:sz="0" w:space="0" w:color="auto"/>
        <w:right w:val="none" w:sz="0" w:space="0" w:color="auto"/>
      </w:divBdr>
      <w:divsChild>
        <w:div w:id="1422490709">
          <w:marLeft w:val="0"/>
          <w:marRight w:val="0"/>
          <w:marTop w:val="0"/>
          <w:marBottom w:val="0"/>
          <w:divBdr>
            <w:top w:val="none" w:sz="0" w:space="0" w:color="auto"/>
            <w:left w:val="none" w:sz="0" w:space="0" w:color="auto"/>
            <w:bottom w:val="none" w:sz="0" w:space="0" w:color="auto"/>
            <w:right w:val="none" w:sz="0" w:space="0" w:color="auto"/>
          </w:divBdr>
        </w:div>
      </w:divsChild>
    </w:div>
    <w:div w:id="1906064036">
      <w:marLeft w:val="4"/>
      <w:marRight w:val="0"/>
      <w:marTop w:val="120"/>
      <w:marBottom w:val="0"/>
      <w:divBdr>
        <w:top w:val="none" w:sz="0" w:space="0" w:color="auto"/>
        <w:left w:val="none" w:sz="0" w:space="0" w:color="auto"/>
        <w:bottom w:val="none" w:sz="0" w:space="0" w:color="auto"/>
        <w:right w:val="none" w:sz="0" w:space="0" w:color="auto"/>
      </w:divBdr>
      <w:divsChild>
        <w:div w:id="816068575">
          <w:marLeft w:val="0"/>
          <w:marRight w:val="0"/>
          <w:marTop w:val="0"/>
          <w:marBottom w:val="0"/>
          <w:divBdr>
            <w:top w:val="none" w:sz="0" w:space="0" w:color="auto"/>
            <w:left w:val="none" w:sz="0" w:space="0" w:color="auto"/>
            <w:bottom w:val="none" w:sz="0" w:space="0" w:color="auto"/>
            <w:right w:val="none" w:sz="0" w:space="0" w:color="auto"/>
          </w:divBdr>
        </w:div>
      </w:divsChild>
    </w:div>
    <w:div w:id="1923023372">
      <w:marLeft w:val="4"/>
      <w:marRight w:val="0"/>
      <w:marTop w:val="120"/>
      <w:marBottom w:val="0"/>
      <w:divBdr>
        <w:top w:val="none" w:sz="0" w:space="0" w:color="auto"/>
        <w:left w:val="none" w:sz="0" w:space="0" w:color="auto"/>
        <w:bottom w:val="none" w:sz="0" w:space="0" w:color="auto"/>
        <w:right w:val="none" w:sz="0" w:space="0" w:color="auto"/>
      </w:divBdr>
      <w:divsChild>
        <w:div w:id="208227833">
          <w:marLeft w:val="0"/>
          <w:marRight w:val="0"/>
          <w:marTop w:val="0"/>
          <w:marBottom w:val="0"/>
          <w:divBdr>
            <w:top w:val="none" w:sz="0" w:space="0" w:color="auto"/>
            <w:left w:val="none" w:sz="0" w:space="0" w:color="auto"/>
            <w:bottom w:val="none" w:sz="0" w:space="0" w:color="auto"/>
            <w:right w:val="none" w:sz="0" w:space="0" w:color="auto"/>
          </w:divBdr>
        </w:div>
      </w:divsChild>
    </w:div>
    <w:div w:id="1940021629">
      <w:marLeft w:val="4"/>
      <w:marRight w:val="0"/>
      <w:marTop w:val="120"/>
      <w:marBottom w:val="0"/>
      <w:divBdr>
        <w:top w:val="none" w:sz="0" w:space="0" w:color="auto"/>
        <w:left w:val="none" w:sz="0" w:space="0" w:color="auto"/>
        <w:bottom w:val="none" w:sz="0" w:space="0" w:color="auto"/>
        <w:right w:val="none" w:sz="0" w:space="0" w:color="auto"/>
      </w:divBdr>
      <w:divsChild>
        <w:div w:id="1164668308">
          <w:marLeft w:val="0"/>
          <w:marRight w:val="0"/>
          <w:marTop w:val="0"/>
          <w:marBottom w:val="0"/>
          <w:divBdr>
            <w:top w:val="none" w:sz="0" w:space="0" w:color="auto"/>
            <w:left w:val="none" w:sz="0" w:space="0" w:color="auto"/>
            <w:bottom w:val="none" w:sz="0" w:space="0" w:color="auto"/>
            <w:right w:val="none" w:sz="0" w:space="0" w:color="auto"/>
          </w:divBdr>
        </w:div>
      </w:divsChild>
    </w:div>
    <w:div w:id="1940093577">
      <w:marLeft w:val="4"/>
      <w:marRight w:val="0"/>
      <w:marTop w:val="120"/>
      <w:marBottom w:val="0"/>
      <w:divBdr>
        <w:top w:val="none" w:sz="0" w:space="0" w:color="auto"/>
        <w:left w:val="none" w:sz="0" w:space="0" w:color="auto"/>
        <w:bottom w:val="none" w:sz="0" w:space="0" w:color="auto"/>
        <w:right w:val="none" w:sz="0" w:space="0" w:color="auto"/>
      </w:divBdr>
      <w:divsChild>
        <w:div w:id="408045863">
          <w:marLeft w:val="0"/>
          <w:marRight w:val="0"/>
          <w:marTop w:val="0"/>
          <w:marBottom w:val="0"/>
          <w:divBdr>
            <w:top w:val="none" w:sz="0" w:space="0" w:color="auto"/>
            <w:left w:val="none" w:sz="0" w:space="0" w:color="auto"/>
            <w:bottom w:val="none" w:sz="0" w:space="0" w:color="auto"/>
            <w:right w:val="none" w:sz="0" w:space="0" w:color="auto"/>
          </w:divBdr>
        </w:div>
      </w:divsChild>
    </w:div>
    <w:div w:id="1963488403">
      <w:marLeft w:val="4"/>
      <w:marRight w:val="0"/>
      <w:marTop w:val="120"/>
      <w:marBottom w:val="0"/>
      <w:divBdr>
        <w:top w:val="none" w:sz="0" w:space="0" w:color="auto"/>
        <w:left w:val="none" w:sz="0" w:space="0" w:color="auto"/>
        <w:bottom w:val="none" w:sz="0" w:space="0" w:color="auto"/>
        <w:right w:val="none" w:sz="0" w:space="0" w:color="auto"/>
      </w:divBdr>
      <w:divsChild>
        <w:div w:id="2040930706">
          <w:marLeft w:val="0"/>
          <w:marRight w:val="0"/>
          <w:marTop w:val="0"/>
          <w:marBottom w:val="0"/>
          <w:divBdr>
            <w:top w:val="none" w:sz="0" w:space="0" w:color="auto"/>
            <w:left w:val="none" w:sz="0" w:space="0" w:color="auto"/>
            <w:bottom w:val="none" w:sz="0" w:space="0" w:color="auto"/>
            <w:right w:val="none" w:sz="0" w:space="0" w:color="auto"/>
          </w:divBdr>
        </w:div>
      </w:divsChild>
    </w:div>
    <w:div w:id="1966736888">
      <w:marLeft w:val="4"/>
      <w:marRight w:val="0"/>
      <w:marTop w:val="120"/>
      <w:marBottom w:val="0"/>
      <w:divBdr>
        <w:top w:val="none" w:sz="0" w:space="0" w:color="auto"/>
        <w:left w:val="none" w:sz="0" w:space="0" w:color="auto"/>
        <w:bottom w:val="none" w:sz="0" w:space="0" w:color="auto"/>
        <w:right w:val="none" w:sz="0" w:space="0" w:color="auto"/>
      </w:divBdr>
      <w:divsChild>
        <w:div w:id="597566876">
          <w:marLeft w:val="0"/>
          <w:marRight w:val="0"/>
          <w:marTop w:val="0"/>
          <w:marBottom w:val="0"/>
          <w:divBdr>
            <w:top w:val="none" w:sz="0" w:space="0" w:color="auto"/>
            <w:left w:val="none" w:sz="0" w:space="0" w:color="auto"/>
            <w:bottom w:val="none" w:sz="0" w:space="0" w:color="auto"/>
            <w:right w:val="none" w:sz="0" w:space="0" w:color="auto"/>
          </w:divBdr>
        </w:div>
      </w:divsChild>
    </w:div>
    <w:div w:id="1976568710">
      <w:marLeft w:val="0"/>
      <w:marRight w:val="0"/>
      <w:marTop w:val="0"/>
      <w:marBottom w:val="0"/>
      <w:divBdr>
        <w:top w:val="none" w:sz="0" w:space="0" w:color="auto"/>
        <w:left w:val="none" w:sz="0" w:space="0" w:color="auto"/>
        <w:bottom w:val="none" w:sz="0" w:space="0" w:color="auto"/>
        <w:right w:val="none" w:sz="0" w:space="0" w:color="auto"/>
      </w:divBdr>
      <w:divsChild>
        <w:div w:id="1948387882">
          <w:marLeft w:val="0"/>
          <w:marRight w:val="0"/>
          <w:marTop w:val="120"/>
          <w:marBottom w:val="0"/>
          <w:divBdr>
            <w:top w:val="none" w:sz="0" w:space="0" w:color="auto"/>
            <w:left w:val="none" w:sz="0" w:space="0" w:color="auto"/>
            <w:bottom w:val="none" w:sz="0" w:space="0" w:color="auto"/>
            <w:right w:val="none" w:sz="0" w:space="0" w:color="auto"/>
          </w:divBdr>
          <w:divsChild>
            <w:div w:id="220556135">
              <w:marLeft w:val="0"/>
              <w:marRight w:val="0"/>
              <w:marTop w:val="0"/>
              <w:marBottom w:val="0"/>
              <w:divBdr>
                <w:top w:val="none" w:sz="0" w:space="0" w:color="auto"/>
                <w:left w:val="none" w:sz="0" w:space="0" w:color="auto"/>
                <w:bottom w:val="none" w:sz="0" w:space="0" w:color="auto"/>
                <w:right w:val="none" w:sz="0" w:space="0" w:color="auto"/>
              </w:divBdr>
            </w:div>
          </w:divsChild>
        </w:div>
        <w:div w:id="1512405453">
          <w:marLeft w:val="0"/>
          <w:marRight w:val="0"/>
          <w:marTop w:val="0"/>
          <w:marBottom w:val="0"/>
          <w:divBdr>
            <w:top w:val="none" w:sz="0" w:space="0" w:color="auto"/>
            <w:left w:val="none" w:sz="0" w:space="0" w:color="auto"/>
            <w:bottom w:val="none" w:sz="0" w:space="0" w:color="auto"/>
            <w:right w:val="none" w:sz="0" w:space="0" w:color="auto"/>
          </w:divBdr>
        </w:div>
        <w:div w:id="256596607">
          <w:marLeft w:val="0"/>
          <w:marRight w:val="0"/>
          <w:marTop w:val="0"/>
          <w:marBottom w:val="0"/>
          <w:divBdr>
            <w:top w:val="none" w:sz="0" w:space="0" w:color="auto"/>
            <w:left w:val="none" w:sz="0" w:space="0" w:color="auto"/>
            <w:bottom w:val="none" w:sz="0" w:space="0" w:color="auto"/>
            <w:right w:val="none" w:sz="0" w:space="0" w:color="auto"/>
          </w:divBdr>
        </w:div>
        <w:div w:id="758523566">
          <w:marLeft w:val="0"/>
          <w:marRight w:val="0"/>
          <w:marTop w:val="0"/>
          <w:marBottom w:val="0"/>
          <w:divBdr>
            <w:top w:val="none" w:sz="0" w:space="0" w:color="auto"/>
            <w:left w:val="none" w:sz="0" w:space="0" w:color="auto"/>
            <w:bottom w:val="none" w:sz="0" w:space="0" w:color="auto"/>
            <w:right w:val="none" w:sz="0" w:space="0" w:color="auto"/>
          </w:divBdr>
        </w:div>
      </w:divsChild>
    </w:div>
    <w:div w:id="1978876563">
      <w:marLeft w:val="4"/>
      <w:marRight w:val="0"/>
      <w:marTop w:val="120"/>
      <w:marBottom w:val="0"/>
      <w:divBdr>
        <w:top w:val="none" w:sz="0" w:space="0" w:color="auto"/>
        <w:left w:val="none" w:sz="0" w:space="0" w:color="auto"/>
        <w:bottom w:val="none" w:sz="0" w:space="0" w:color="auto"/>
        <w:right w:val="none" w:sz="0" w:space="0" w:color="auto"/>
      </w:divBdr>
      <w:divsChild>
        <w:div w:id="37363023">
          <w:marLeft w:val="0"/>
          <w:marRight w:val="0"/>
          <w:marTop w:val="0"/>
          <w:marBottom w:val="0"/>
          <w:divBdr>
            <w:top w:val="none" w:sz="0" w:space="0" w:color="auto"/>
            <w:left w:val="none" w:sz="0" w:space="0" w:color="auto"/>
            <w:bottom w:val="none" w:sz="0" w:space="0" w:color="auto"/>
            <w:right w:val="none" w:sz="0" w:space="0" w:color="auto"/>
          </w:divBdr>
        </w:div>
      </w:divsChild>
    </w:div>
    <w:div w:id="1980105943">
      <w:marLeft w:val="1"/>
      <w:marRight w:val="0"/>
      <w:marTop w:val="120"/>
      <w:marBottom w:val="0"/>
      <w:divBdr>
        <w:top w:val="none" w:sz="0" w:space="0" w:color="auto"/>
        <w:left w:val="none" w:sz="0" w:space="0" w:color="auto"/>
        <w:bottom w:val="none" w:sz="0" w:space="0" w:color="auto"/>
        <w:right w:val="none" w:sz="0" w:space="0" w:color="auto"/>
      </w:divBdr>
      <w:divsChild>
        <w:div w:id="1443768379">
          <w:marLeft w:val="0"/>
          <w:marRight w:val="0"/>
          <w:marTop w:val="0"/>
          <w:marBottom w:val="0"/>
          <w:divBdr>
            <w:top w:val="none" w:sz="0" w:space="0" w:color="auto"/>
            <w:left w:val="none" w:sz="0" w:space="0" w:color="auto"/>
            <w:bottom w:val="none" w:sz="0" w:space="0" w:color="auto"/>
            <w:right w:val="none" w:sz="0" w:space="0" w:color="auto"/>
          </w:divBdr>
        </w:div>
      </w:divsChild>
    </w:div>
    <w:div w:id="1981618693">
      <w:marLeft w:val="3"/>
      <w:marRight w:val="0"/>
      <w:marTop w:val="20"/>
      <w:marBottom w:val="0"/>
      <w:divBdr>
        <w:top w:val="none" w:sz="0" w:space="0" w:color="auto"/>
        <w:left w:val="none" w:sz="0" w:space="0" w:color="auto"/>
        <w:bottom w:val="none" w:sz="0" w:space="0" w:color="auto"/>
        <w:right w:val="none" w:sz="0" w:space="0" w:color="auto"/>
      </w:divBdr>
      <w:divsChild>
        <w:div w:id="1544705727">
          <w:marLeft w:val="0"/>
          <w:marRight w:val="0"/>
          <w:marTop w:val="0"/>
          <w:marBottom w:val="0"/>
          <w:divBdr>
            <w:top w:val="none" w:sz="0" w:space="0" w:color="auto"/>
            <w:left w:val="none" w:sz="0" w:space="0" w:color="auto"/>
            <w:bottom w:val="none" w:sz="0" w:space="0" w:color="auto"/>
            <w:right w:val="none" w:sz="0" w:space="0" w:color="auto"/>
          </w:divBdr>
        </w:div>
      </w:divsChild>
    </w:div>
    <w:div w:id="2005736791">
      <w:marLeft w:val="4"/>
      <w:marRight w:val="0"/>
      <w:marTop w:val="120"/>
      <w:marBottom w:val="0"/>
      <w:divBdr>
        <w:top w:val="none" w:sz="0" w:space="0" w:color="auto"/>
        <w:left w:val="none" w:sz="0" w:space="0" w:color="auto"/>
        <w:bottom w:val="none" w:sz="0" w:space="0" w:color="auto"/>
        <w:right w:val="none" w:sz="0" w:space="0" w:color="auto"/>
      </w:divBdr>
      <w:divsChild>
        <w:div w:id="1828935059">
          <w:marLeft w:val="0"/>
          <w:marRight w:val="0"/>
          <w:marTop w:val="0"/>
          <w:marBottom w:val="0"/>
          <w:divBdr>
            <w:top w:val="none" w:sz="0" w:space="0" w:color="auto"/>
            <w:left w:val="none" w:sz="0" w:space="0" w:color="auto"/>
            <w:bottom w:val="none" w:sz="0" w:space="0" w:color="auto"/>
            <w:right w:val="none" w:sz="0" w:space="0" w:color="auto"/>
          </w:divBdr>
        </w:div>
      </w:divsChild>
    </w:div>
    <w:div w:id="2007203196">
      <w:marLeft w:val="3"/>
      <w:marRight w:val="0"/>
      <w:marTop w:val="20"/>
      <w:marBottom w:val="0"/>
      <w:divBdr>
        <w:top w:val="none" w:sz="0" w:space="0" w:color="auto"/>
        <w:left w:val="none" w:sz="0" w:space="0" w:color="auto"/>
        <w:bottom w:val="none" w:sz="0" w:space="0" w:color="auto"/>
        <w:right w:val="none" w:sz="0" w:space="0" w:color="auto"/>
      </w:divBdr>
      <w:divsChild>
        <w:div w:id="2117363709">
          <w:marLeft w:val="0"/>
          <w:marRight w:val="0"/>
          <w:marTop w:val="0"/>
          <w:marBottom w:val="0"/>
          <w:divBdr>
            <w:top w:val="none" w:sz="0" w:space="0" w:color="auto"/>
            <w:left w:val="none" w:sz="0" w:space="0" w:color="auto"/>
            <w:bottom w:val="none" w:sz="0" w:space="0" w:color="auto"/>
            <w:right w:val="none" w:sz="0" w:space="0" w:color="auto"/>
          </w:divBdr>
        </w:div>
      </w:divsChild>
    </w:div>
    <w:div w:id="2011441899">
      <w:marLeft w:val="4"/>
      <w:marRight w:val="0"/>
      <w:marTop w:val="120"/>
      <w:marBottom w:val="0"/>
      <w:divBdr>
        <w:top w:val="none" w:sz="0" w:space="0" w:color="auto"/>
        <w:left w:val="none" w:sz="0" w:space="0" w:color="auto"/>
        <w:bottom w:val="none" w:sz="0" w:space="0" w:color="auto"/>
        <w:right w:val="none" w:sz="0" w:space="0" w:color="auto"/>
      </w:divBdr>
      <w:divsChild>
        <w:div w:id="42219263">
          <w:marLeft w:val="0"/>
          <w:marRight w:val="0"/>
          <w:marTop w:val="0"/>
          <w:marBottom w:val="0"/>
          <w:divBdr>
            <w:top w:val="none" w:sz="0" w:space="0" w:color="auto"/>
            <w:left w:val="none" w:sz="0" w:space="0" w:color="auto"/>
            <w:bottom w:val="none" w:sz="0" w:space="0" w:color="auto"/>
            <w:right w:val="none" w:sz="0" w:space="0" w:color="auto"/>
          </w:divBdr>
        </w:div>
      </w:divsChild>
    </w:div>
    <w:div w:id="2035033082">
      <w:marLeft w:val="4"/>
      <w:marRight w:val="0"/>
      <w:marTop w:val="120"/>
      <w:marBottom w:val="0"/>
      <w:divBdr>
        <w:top w:val="none" w:sz="0" w:space="0" w:color="auto"/>
        <w:left w:val="none" w:sz="0" w:space="0" w:color="auto"/>
        <w:bottom w:val="none" w:sz="0" w:space="0" w:color="auto"/>
        <w:right w:val="none" w:sz="0" w:space="0" w:color="auto"/>
      </w:divBdr>
      <w:divsChild>
        <w:div w:id="170998494">
          <w:marLeft w:val="0"/>
          <w:marRight w:val="0"/>
          <w:marTop w:val="0"/>
          <w:marBottom w:val="0"/>
          <w:divBdr>
            <w:top w:val="none" w:sz="0" w:space="0" w:color="auto"/>
            <w:left w:val="none" w:sz="0" w:space="0" w:color="auto"/>
            <w:bottom w:val="none" w:sz="0" w:space="0" w:color="auto"/>
            <w:right w:val="none" w:sz="0" w:space="0" w:color="auto"/>
          </w:divBdr>
        </w:div>
      </w:divsChild>
    </w:div>
    <w:div w:id="2045599125">
      <w:marLeft w:val="4"/>
      <w:marRight w:val="0"/>
      <w:marTop w:val="120"/>
      <w:marBottom w:val="0"/>
      <w:divBdr>
        <w:top w:val="none" w:sz="0" w:space="0" w:color="auto"/>
        <w:left w:val="none" w:sz="0" w:space="0" w:color="auto"/>
        <w:bottom w:val="none" w:sz="0" w:space="0" w:color="auto"/>
        <w:right w:val="none" w:sz="0" w:space="0" w:color="auto"/>
      </w:divBdr>
      <w:divsChild>
        <w:div w:id="884100968">
          <w:marLeft w:val="0"/>
          <w:marRight w:val="0"/>
          <w:marTop w:val="0"/>
          <w:marBottom w:val="0"/>
          <w:divBdr>
            <w:top w:val="none" w:sz="0" w:space="0" w:color="auto"/>
            <w:left w:val="none" w:sz="0" w:space="0" w:color="auto"/>
            <w:bottom w:val="none" w:sz="0" w:space="0" w:color="auto"/>
            <w:right w:val="none" w:sz="0" w:space="0" w:color="auto"/>
          </w:divBdr>
        </w:div>
      </w:divsChild>
    </w:div>
    <w:div w:id="2049180444">
      <w:marLeft w:val="3"/>
      <w:marRight w:val="0"/>
      <w:marTop w:val="20"/>
      <w:marBottom w:val="0"/>
      <w:divBdr>
        <w:top w:val="none" w:sz="0" w:space="0" w:color="auto"/>
        <w:left w:val="none" w:sz="0" w:space="0" w:color="auto"/>
        <w:bottom w:val="none" w:sz="0" w:space="0" w:color="auto"/>
        <w:right w:val="none" w:sz="0" w:space="0" w:color="auto"/>
      </w:divBdr>
      <w:divsChild>
        <w:div w:id="788739195">
          <w:marLeft w:val="0"/>
          <w:marRight w:val="0"/>
          <w:marTop w:val="0"/>
          <w:marBottom w:val="0"/>
          <w:divBdr>
            <w:top w:val="none" w:sz="0" w:space="0" w:color="auto"/>
            <w:left w:val="none" w:sz="0" w:space="0" w:color="auto"/>
            <w:bottom w:val="none" w:sz="0" w:space="0" w:color="auto"/>
            <w:right w:val="none" w:sz="0" w:space="0" w:color="auto"/>
          </w:divBdr>
        </w:div>
      </w:divsChild>
    </w:div>
    <w:div w:id="2074352753">
      <w:marLeft w:val="3"/>
      <w:marRight w:val="0"/>
      <w:marTop w:val="20"/>
      <w:marBottom w:val="0"/>
      <w:divBdr>
        <w:top w:val="none" w:sz="0" w:space="0" w:color="auto"/>
        <w:left w:val="none" w:sz="0" w:space="0" w:color="auto"/>
        <w:bottom w:val="none" w:sz="0" w:space="0" w:color="auto"/>
        <w:right w:val="none" w:sz="0" w:space="0" w:color="auto"/>
      </w:divBdr>
      <w:divsChild>
        <w:div w:id="1936130835">
          <w:marLeft w:val="0"/>
          <w:marRight w:val="0"/>
          <w:marTop w:val="0"/>
          <w:marBottom w:val="0"/>
          <w:divBdr>
            <w:top w:val="none" w:sz="0" w:space="0" w:color="auto"/>
            <w:left w:val="none" w:sz="0" w:space="0" w:color="auto"/>
            <w:bottom w:val="none" w:sz="0" w:space="0" w:color="auto"/>
            <w:right w:val="none" w:sz="0" w:space="0" w:color="auto"/>
          </w:divBdr>
        </w:div>
      </w:divsChild>
    </w:div>
    <w:div w:id="2075927471">
      <w:marLeft w:val="4"/>
      <w:marRight w:val="0"/>
      <w:marTop w:val="120"/>
      <w:marBottom w:val="0"/>
      <w:divBdr>
        <w:top w:val="none" w:sz="0" w:space="0" w:color="auto"/>
        <w:left w:val="none" w:sz="0" w:space="0" w:color="auto"/>
        <w:bottom w:val="none" w:sz="0" w:space="0" w:color="auto"/>
        <w:right w:val="none" w:sz="0" w:space="0" w:color="auto"/>
      </w:divBdr>
      <w:divsChild>
        <w:div w:id="1246845658">
          <w:marLeft w:val="0"/>
          <w:marRight w:val="0"/>
          <w:marTop w:val="0"/>
          <w:marBottom w:val="0"/>
          <w:divBdr>
            <w:top w:val="none" w:sz="0" w:space="0" w:color="auto"/>
            <w:left w:val="none" w:sz="0" w:space="0" w:color="auto"/>
            <w:bottom w:val="none" w:sz="0" w:space="0" w:color="auto"/>
            <w:right w:val="none" w:sz="0" w:space="0" w:color="auto"/>
          </w:divBdr>
        </w:div>
      </w:divsChild>
    </w:div>
    <w:div w:id="2105566440">
      <w:marLeft w:val="4"/>
      <w:marRight w:val="0"/>
      <w:marTop w:val="120"/>
      <w:marBottom w:val="0"/>
      <w:divBdr>
        <w:top w:val="none" w:sz="0" w:space="0" w:color="auto"/>
        <w:left w:val="none" w:sz="0" w:space="0" w:color="auto"/>
        <w:bottom w:val="none" w:sz="0" w:space="0" w:color="auto"/>
        <w:right w:val="none" w:sz="0" w:space="0" w:color="auto"/>
      </w:divBdr>
      <w:divsChild>
        <w:div w:id="1564096859">
          <w:marLeft w:val="0"/>
          <w:marRight w:val="0"/>
          <w:marTop w:val="0"/>
          <w:marBottom w:val="0"/>
          <w:divBdr>
            <w:top w:val="none" w:sz="0" w:space="0" w:color="auto"/>
            <w:left w:val="none" w:sz="0" w:space="0" w:color="auto"/>
            <w:bottom w:val="none" w:sz="0" w:space="0" w:color="auto"/>
            <w:right w:val="none" w:sz="0" w:space="0" w:color="auto"/>
          </w:divBdr>
        </w:div>
      </w:divsChild>
    </w:div>
    <w:div w:id="2108846129">
      <w:marLeft w:val="0"/>
      <w:marRight w:val="0"/>
      <w:marTop w:val="0"/>
      <w:marBottom w:val="0"/>
      <w:divBdr>
        <w:top w:val="none" w:sz="0" w:space="0" w:color="auto"/>
        <w:left w:val="none" w:sz="0" w:space="0" w:color="auto"/>
        <w:bottom w:val="none" w:sz="0" w:space="0" w:color="auto"/>
        <w:right w:val="none" w:sz="0" w:space="0" w:color="auto"/>
      </w:divBdr>
    </w:div>
    <w:div w:id="2128353479">
      <w:marLeft w:val="4"/>
      <w:marRight w:val="0"/>
      <w:marTop w:val="120"/>
      <w:marBottom w:val="0"/>
      <w:divBdr>
        <w:top w:val="none" w:sz="0" w:space="0" w:color="auto"/>
        <w:left w:val="none" w:sz="0" w:space="0" w:color="auto"/>
        <w:bottom w:val="none" w:sz="0" w:space="0" w:color="auto"/>
        <w:right w:val="none" w:sz="0" w:space="0" w:color="auto"/>
      </w:divBdr>
      <w:divsChild>
        <w:div w:id="1273586541">
          <w:marLeft w:val="0"/>
          <w:marRight w:val="0"/>
          <w:marTop w:val="0"/>
          <w:marBottom w:val="0"/>
          <w:divBdr>
            <w:top w:val="none" w:sz="0" w:space="0" w:color="auto"/>
            <w:left w:val="none" w:sz="0" w:space="0" w:color="auto"/>
            <w:bottom w:val="none" w:sz="0" w:space="0" w:color="auto"/>
            <w:right w:val="none" w:sz="0" w:space="0" w:color="auto"/>
          </w:divBdr>
        </w:div>
      </w:divsChild>
    </w:div>
    <w:div w:id="2128574759">
      <w:marLeft w:val="4"/>
      <w:marRight w:val="0"/>
      <w:marTop w:val="240"/>
      <w:marBottom w:val="0"/>
      <w:divBdr>
        <w:top w:val="none" w:sz="0" w:space="0" w:color="auto"/>
        <w:left w:val="none" w:sz="0" w:space="0" w:color="auto"/>
        <w:bottom w:val="none" w:sz="0" w:space="0" w:color="auto"/>
        <w:right w:val="none" w:sz="0" w:space="0" w:color="auto"/>
      </w:divBdr>
      <w:divsChild>
        <w:div w:id="200149382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c.gov/Archives/edgar/data/1070985/000114036121012814/nt10022754x8_ex4-2.htm" TargetMode="External"/><Relationship Id="rId18" Type="http://schemas.openxmlformats.org/officeDocument/2006/relationships/hyperlink" Target="https://www.sec.gov/Archives/edgar/data/1070985/000119312516477634/d121974dex413.htm" TargetMode="External"/><Relationship Id="rId26" Type="http://schemas.openxmlformats.org/officeDocument/2006/relationships/hyperlink" Target="https://www.sec.gov/Archives/edgar/data/1070985/000114036121032946/brhc10029352_ex4-3.htm" TargetMode="External"/><Relationship Id="rId39" Type="http://schemas.openxmlformats.org/officeDocument/2006/relationships/hyperlink" Target="https://www.sec.gov/Archives/edgar/data/1070985/000119312513080296/d452767dex1023.htm" TargetMode="External"/><Relationship Id="rId21" Type="http://schemas.openxmlformats.org/officeDocument/2006/relationships/hyperlink" Target="https://www.sec.gov/Archives/edgar/data/1070985/000156459019017752/cxw-ex44_155.htm" TargetMode="External"/><Relationship Id="rId34" Type="http://schemas.openxmlformats.org/officeDocument/2006/relationships/hyperlink" Target="https://www.sec.gov/Archives/edgar/data/1070985/000095014408001266/g11816exv10w3.htm" TargetMode="External"/><Relationship Id="rId42" Type="http://schemas.openxmlformats.org/officeDocument/2006/relationships/hyperlink" Target="https://www.sec.gov/Archives/edgar/data/1070985/000095014407007953/g08996exv10w2.htm" TargetMode="External"/><Relationship Id="rId47" Type="http://schemas.openxmlformats.org/officeDocument/2006/relationships/hyperlink" Target="https://www.sec.gov/Archives/edgar/data/1070985/000119312517168577/d395199dex101.htm" TargetMode="External"/><Relationship Id="rId50" Type="http://schemas.openxmlformats.org/officeDocument/2006/relationships/hyperlink" Target="https://www.sec.gov/Archives/edgar/data/1070985/000156459020037459/cxw-ex102_135.htm" TargetMode="External"/><Relationship Id="rId55" Type="http://schemas.openxmlformats.org/officeDocument/2006/relationships/hyperlink" Target="cxw-ex22_1.htm" TargetMode="External"/><Relationship Id="rId7" Type="http://schemas.openxmlformats.org/officeDocument/2006/relationships/hyperlink" Target="https://www.sec.gov/Archives/edgar/data/1070985/000119312516764788/d256269dex41.htm" TargetMode="External"/><Relationship Id="rId2" Type="http://schemas.openxmlformats.org/officeDocument/2006/relationships/settings" Target="settings.xml"/><Relationship Id="rId16" Type="http://schemas.openxmlformats.org/officeDocument/2006/relationships/hyperlink" Target="https://www.sec.gov/Archives/edgar/data/1070985/000119312517309897/d449092dex42.htm" TargetMode="External"/><Relationship Id="rId29" Type="http://schemas.openxmlformats.org/officeDocument/2006/relationships/hyperlink" Target="https://www.sec.gov/Archives/edgar/data/1070985/000119312518120636/d568607dex101.htm" TargetMode="External"/><Relationship Id="rId11" Type="http://schemas.openxmlformats.org/officeDocument/2006/relationships/hyperlink" Target="https://www.sec.gov/Archives/edgar/data/1070985/000119312515328313/d93789dex42.htm" TargetMode="External"/><Relationship Id="rId24" Type="http://schemas.openxmlformats.org/officeDocument/2006/relationships/hyperlink" Target="https://www.sec.gov/Archives/edgar/data/1070985/000156459020022649/cxw-ex43_134.htm" TargetMode="External"/><Relationship Id="rId32" Type="http://schemas.openxmlformats.org/officeDocument/2006/relationships/hyperlink" Target="https://www.sec.gov/Archives/edgar/data/1070985/000095014408001266/g11816exv10w2.htm" TargetMode="External"/><Relationship Id="rId37" Type="http://schemas.openxmlformats.org/officeDocument/2006/relationships/hyperlink" Target="https://www.sec.gov/Archives/edgar/data/1070985/000119312512125275/d318887dex102.htm" TargetMode="External"/><Relationship Id="rId40" Type="http://schemas.openxmlformats.org/officeDocument/2006/relationships/hyperlink" Target="https://www.sec.gov/Archives/edgar/data/1070985/000095014407007953/g08996exv10w1.htm" TargetMode="External"/><Relationship Id="rId45" Type="http://schemas.openxmlformats.org/officeDocument/2006/relationships/hyperlink" Target="https://www.sec.gov/Archives/edgar/data/1070985/000156459020005570/cxw-ex1019_129.htm" TargetMode="External"/><Relationship Id="rId53" Type="http://schemas.openxmlformats.org/officeDocument/2006/relationships/hyperlink" Target="https://www.sec.gov/Archives/edgar/data/1070985/000119312520145050/d930806dex101.htm" TargetMode="External"/><Relationship Id="rId58" Type="http://schemas.openxmlformats.org/officeDocument/2006/relationships/hyperlink" Target="cxw-ex31_2.htm" TargetMode="External"/><Relationship Id="rId5" Type="http://schemas.openxmlformats.org/officeDocument/2006/relationships/hyperlink" Target="https://www.sec.gov/Archives/edgar/data/1070985/000119312516764788/d256269dex31.htm" TargetMode="External"/><Relationship Id="rId61" Type="http://schemas.openxmlformats.org/officeDocument/2006/relationships/fontTable" Target="fontTable.xml"/><Relationship Id="rId19" Type="http://schemas.openxmlformats.org/officeDocument/2006/relationships/hyperlink" Target="https://www.sec.gov/Archives/edgar/data/1070985/000156459019017752/cxw-ex42_153.htm" TargetMode="External"/><Relationship Id="rId14" Type="http://schemas.openxmlformats.org/officeDocument/2006/relationships/hyperlink" Target="https://www.sec.gov/Archives/edgar/data/1070985/000119312513432385/d609078dex42.htm" TargetMode="External"/><Relationship Id="rId22" Type="http://schemas.openxmlformats.org/officeDocument/2006/relationships/hyperlink" Target="https://www.sec.gov/Archives/edgar/data/1070985/000156459020022649/cxw-ex41_135.htm" TargetMode="External"/><Relationship Id="rId27" Type="http://schemas.openxmlformats.org/officeDocument/2006/relationships/hyperlink" Target="https://www.sec.gov/Archives/edgar/data/1070985/000156459020005570/cxw-ex415_208.htm" TargetMode="External"/><Relationship Id="rId30" Type="http://schemas.openxmlformats.org/officeDocument/2006/relationships/hyperlink" Target="https://www.sec.gov/Archives/edgar/data/1070985/000119312520210766/d64606dex102.htm" TargetMode="External"/><Relationship Id="rId35" Type="http://schemas.openxmlformats.org/officeDocument/2006/relationships/hyperlink" Target="https://www.sec.gov/Archives/edgar/data/1070985/000095012311051326/g27277exv10w1.htm" TargetMode="External"/><Relationship Id="rId43" Type="http://schemas.openxmlformats.org/officeDocument/2006/relationships/hyperlink" Target="https://www.sec.gov/Archives/edgar/data/1070985/000095012309035955/g20232exv10w1.htm" TargetMode="External"/><Relationship Id="rId48" Type="http://schemas.openxmlformats.org/officeDocument/2006/relationships/hyperlink" Target="https://www.sec.gov/Archives/edgar/data/1070985/000119312520145050/d930806dex101.htm" TargetMode="External"/><Relationship Id="rId56" Type="http://schemas.openxmlformats.org/officeDocument/2006/relationships/hyperlink" Target="cxw-ex23_1.htm" TargetMode="External"/><Relationship Id="rId8" Type="http://schemas.openxmlformats.org/officeDocument/2006/relationships/hyperlink" Target="https://www.sec.gov/Archives/edgar/data/1070985/000119312513145814/d516910dex43.htm" TargetMode="External"/><Relationship Id="rId51" Type="http://schemas.openxmlformats.org/officeDocument/2006/relationships/hyperlink" Target="https://www.sec.gov/Archives/edgar/data/1070985/000156459020037459/cxw-ex103_133.htm" TargetMode="External"/><Relationship Id="rId3" Type="http://schemas.openxmlformats.org/officeDocument/2006/relationships/webSettings" Target="webSettings.xml"/><Relationship Id="rId12" Type="http://schemas.openxmlformats.org/officeDocument/2006/relationships/hyperlink" Target="https://www.sec.gov/Archives/edgar/data/1070985/000119312517309897/d449092dex42.htm" TargetMode="External"/><Relationship Id="rId17" Type="http://schemas.openxmlformats.org/officeDocument/2006/relationships/hyperlink" Target="https://www.sec.gov/Archives/edgar/data/1070985/000119312516477634/d121974dex412.htm" TargetMode="External"/><Relationship Id="rId25" Type="http://schemas.openxmlformats.org/officeDocument/2006/relationships/hyperlink" Target="https://www.sec.gov/Archives/edgar/data/1070985/000114036121012814/nt10022754x8_ex4-2.htm" TargetMode="External"/><Relationship Id="rId33" Type="http://schemas.openxmlformats.org/officeDocument/2006/relationships/hyperlink" Target="https://www.sec.gov/Archives/edgar/data/1070985/000095014409001520/g17702exv10w2.htm" TargetMode="External"/><Relationship Id="rId38" Type="http://schemas.openxmlformats.org/officeDocument/2006/relationships/hyperlink" Target="https://www.sec.gov/Archives/edgar/data/1070985/000119312512125275/d318887dex103.htm" TargetMode="External"/><Relationship Id="rId46" Type="http://schemas.openxmlformats.org/officeDocument/2006/relationships/hyperlink" Target="https://www.sec.gov/Archives/edgar/data/1070985/000119312520210766/d64606dex101.htm" TargetMode="External"/><Relationship Id="rId59" Type="http://schemas.openxmlformats.org/officeDocument/2006/relationships/hyperlink" Target="cxw-ex32_1.htm" TargetMode="External"/><Relationship Id="rId20" Type="http://schemas.openxmlformats.org/officeDocument/2006/relationships/hyperlink" Target="https://www.sec.gov/Archives/edgar/data/1070985/000156459019017752/cxw-ex43_154.htm" TargetMode="External"/><Relationship Id="rId41" Type="http://schemas.openxmlformats.org/officeDocument/2006/relationships/hyperlink" Target="https://www.sec.gov/Archives/edgar/data/1070985/000095012310016309/g22193exv10w35.htm" TargetMode="External"/><Relationship Id="rId54" Type="http://schemas.openxmlformats.org/officeDocument/2006/relationships/hyperlink" Target="cxw-ex21_1.htm"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ec.gov/Archives/edgar/data/1070985/000119312522307295/d435029dex31.htm" TargetMode="External"/><Relationship Id="rId15" Type="http://schemas.openxmlformats.org/officeDocument/2006/relationships/hyperlink" Target="https://www.sec.gov/Archives/edgar/data/1070985/000119312515328313/d93789dex42.htm" TargetMode="External"/><Relationship Id="rId23" Type="http://schemas.openxmlformats.org/officeDocument/2006/relationships/hyperlink" Target="https://www.sec.gov/Archives/edgar/data/1070985/000156459020022649/cxw-ex42_133.htm" TargetMode="External"/><Relationship Id="rId28" Type="http://schemas.openxmlformats.org/officeDocument/2006/relationships/hyperlink" Target="https://www.sec.gov/Archives/edgar/data/1070985/000114036122018956/brhc10037600_ex10-1.htm" TargetMode="External"/><Relationship Id="rId36" Type="http://schemas.openxmlformats.org/officeDocument/2006/relationships/hyperlink" Target="https://www.sec.gov/Archives/edgar/data/1070985/000119312512125275/d318887dex101.htm" TargetMode="External"/><Relationship Id="rId49" Type="http://schemas.openxmlformats.org/officeDocument/2006/relationships/hyperlink" Target="https://www.sec.gov/Archives/edgar/data/1070985/000156459020037459/cxw-ex101_134.htm" TargetMode="External"/><Relationship Id="rId57" Type="http://schemas.openxmlformats.org/officeDocument/2006/relationships/hyperlink" Target="cxw-ex31_1.htm" TargetMode="External"/><Relationship Id="rId10" Type="http://schemas.openxmlformats.org/officeDocument/2006/relationships/hyperlink" Target="https://www.sec.gov/Archives/edgar/data/1070985/000119312513145814/d516910dex43.htm" TargetMode="External"/><Relationship Id="rId31" Type="http://schemas.openxmlformats.org/officeDocument/2006/relationships/hyperlink" Target="https://www.sec.gov/Archives/edgar/data/1070985/000095014403004789/g81913dedef14a.htm" TargetMode="External"/><Relationship Id="rId44" Type="http://schemas.openxmlformats.org/officeDocument/2006/relationships/hyperlink" Target="https://www.sec.gov/Archives/edgar/data/1070985/000156459021007050/cxw-ex1017_68.htm" TargetMode="External"/><Relationship Id="rId52" Type="http://schemas.openxmlformats.org/officeDocument/2006/relationships/hyperlink" Target="https://www.sec.gov/Archives/edgar/data/1070985/000156459020037459/cxw-ex104_132.htm" TargetMode="External"/><Relationship Id="rId60" Type="http://schemas.openxmlformats.org/officeDocument/2006/relationships/hyperlink" Target="cxw-ex32_2.htm" TargetMode="External"/><Relationship Id="rId4" Type="http://schemas.openxmlformats.org/officeDocument/2006/relationships/hyperlink" Target="https://www.sec.gov/Archives/edgar/data/1070985/000119312513228077/d541213dex31.htm" TargetMode="External"/><Relationship Id="rId9" Type="http://schemas.openxmlformats.org/officeDocument/2006/relationships/hyperlink" Target="https://www.sec.gov/Archives/edgar/data/1070985/000119312515328313/d93789dex4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94237</Words>
  <Characters>537153</Characters>
  <Application>Microsoft Office Word</Application>
  <DocSecurity>0</DocSecurity>
  <Lines>4476</Lines>
  <Paragraphs>1260</Paragraphs>
  <ScaleCrop>false</ScaleCrop>
  <Company/>
  <LinksUpToDate>false</LinksUpToDate>
  <CharactersWithSpaces>630130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10-K</dc:title>
  <dc:subject/>
  <dc:creator>Chongjian.Yue</dc:creator>
  <cp:keywords/>
  <dc:description/>
  <cp:lastModifiedBy>Yue Chongjian</cp:lastModifiedBy>
  <cp:revision>1</cp:revision>
  <dcterms:created xsi:type="dcterms:W3CDTF">2024-01-04T15:39:00Z</dcterms:created>
  <dcterms:modified xsi:type="dcterms:W3CDTF">2024-01-04T15:39:00Z</dcterms:modified>
</cp:coreProperties>
</file>